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D6B" w:rsidRPr="004A5B54" w:rsidRDefault="00324E72" w:rsidP="00172A8B">
      <w:pPr>
        <w:framePr w:w="1432" w:hSpace="180" w:wrap="auto" w:vAnchor="text" w:hAnchor="page" w:x="721" w:y="-2692"/>
        <w:jc w:val="center"/>
        <w:rPr>
          <w:noProof/>
          <w:sz w:val="22"/>
        </w:rPr>
      </w:pPr>
      <w:bookmarkStart w:id="0" w:name="_GoBack"/>
      <w:bookmarkEnd w:id="0"/>
      <w:r>
        <w:rPr>
          <w:noProof/>
          <w:sz w:val="22"/>
        </w:rPr>
        <w:drawing>
          <wp:inline distT="0" distB="0" distL="0" distR="0">
            <wp:extent cx="774700" cy="1144270"/>
            <wp:effectExtent l="19050" t="0" r="635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774700" cy="1144270"/>
                    </a:xfrm>
                    <a:prstGeom prst="rect">
                      <a:avLst/>
                    </a:prstGeom>
                    <a:noFill/>
                    <a:ln w="9525">
                      <a:noFill/>
                      <a:miter lim="800000"/>
                      <a:headEnd/>
                      <a:tailEnd/>
                    </a:ln>
                  </pic:spPr>
                </pic:pic>
              </a:graphicData>
            </a:graphic>
          </wp:inline>
        </w:drawing>
      </w:r>
      <w:r w:rsidR="006525EA" w:rsidRPr="006525EA">
        <w:rPr>
          <w:sz w:val="22"/>
        </w:rPr>
        <w:t xml:space="preserve"> </w:t>
      </w:r>
      <w:r w:rsidR="006525EA" w:rsidRPr="006525EA">
        <w:rPr>
          <w:sz w:val="22"/>
        </w:rPr>
        <w:br/>
      </w:r>
      <w:r w:rsidR="00033D6B" w:rsidRPr="004A5B54">
        <w:rPr>
          <w:sz w:val="22"/>
        </w:rPr>
        <w:t>EDF R&amp;D</w:t>
      </w:r>
    </w:p>
    <w:p w:rsidR="00033D6B" w:rsidRPr="008A23BE" w:rsidRDefault="00A97100" w:rsidP="00172A8B">
      <w:pPr>
        <w:pStyle w:val="En-tte"/>
        <w:tabs>
          <w:tab w:val="clear" w:pos="4536"/>
          <w:tab w:val="clear" w:pos="9072"/>
        </w:tabs>
        <w:jc w:val="both"/>
        <w:rPr>
          <w:sz w:val="20"/>
          <w:szCs w:val="20"/>
        </w:rPr>
        <w:sectPr w:rsidR="00033D6B" w:rsidRPr="008A23BE" w:rsidSect="007549F9">
          <w:headerReference w:type="default" r:id="rId10"/>
          <w:footerReference w:type="default" r:id="rId11"/>
          <w:headerReference w:type="first" r:id="rId12"/>
          <w:footerReference w:type="first" r:id="rId13"/>
          <w:type w:val="continuous"/>
          <w:pgSz w:w="12240" w:h="15840" w:code="122"/>
          <w:pgMar w:top="2947" w:right="1077" w:bottom="1418" w:left="1077" w:header="540" w:footer="454" w:gutter="0"/>
          <w:cols w:space="720"/>
          <w:noEndnote/>
          <w:titlePg/>
        </w:sectPr>
      </w:pPr>
      <w:r>
        <w:rPr>
          <w:noProof/>
          <w:sz w:val="22"/>
        </w:rPr>
        <w:lastRenderedPageBreak/>
        <mc:AlternateContent>
          <mc:Choice Requires="wps">
            <w:drawing>
              <wp:anchor distT="0" distB="226695" distL="114300" distR="114300" simplePos="0" relativeHeight="251660288" behindDoc="1" locked="0" layoutInCell="0" allowOverlap="1">
                <wp:simplePos x="0" y="0"/>
                <wp:positionH relativeFrom="margin">
                  <wp:posOffset>1665605</wp:posOffset>
                </wp:positionH>
                <wp:positionV relativeFrom="margin">
                  <wp:posOffset>-1591945</wp:posOffset>
                </wp:positionV>
                <wp:extent cx="2263775" cy="2263775"/>
                <wp:effectExtent l="38100" t="38100" r="41275" b="41275"/>
                <wp:wrapTight wrapText="bothSides">
                  <wp:wrapPolygon edited="0">
                    <wp:start x="8725" y="-364"/>
                    <wp:lineTo x="2727" y="-364"/>
                    <wp:lineTo x="2727" y="2545"/>
                    <wp:lineTo x="545" y="2545"/>
                    <wp:lineTo x="545" y="5453"/>
                    <wp:lineTo x="-364" y="5453"/>
                    <wp:lineTo x="-364" y="13996"/>
                    <wp:lineTo x="1091" y="17086"/>
                    <wp:lineTo x="3817" y="19994"/>
                    <wp:lineTo x="3999" y="19994"/>
                    <wp:lineTo x="8180" y="21812"/>
                    <wp:lineTo x="8361" y="21812"/>
                    <wp:lineTo x="13087" y="21812"/>
                    <wp:lineTo x="13269" y="21812"/>
                    <wp:lineTo x="17450" y="19994"/>
                    <wp:lineTo x="17631" y="19994"/>
                    <wp:lineTo x="20358" y="17086"/>
                    <wp:lineTo x="21812" y="14178"/>
                    <wp:lineTo x="21812" y="8361"/>
                    <wp:lineTo x="20903" y="5635"/>
                    <wp:lineTo x="20903" y="5453"/>
                    <wp:lineTo x="18904" y="2727"/>
                    <wp:lineTo x="18722" y="1818"/>
                    <wp:lineTo x="14178" y="-364"/>
                    <wp:lineTo x="12724" y="-364"/>
                    <wp:lineTo x="8725" y="-364"/>
                  </wp:wrapPolygon>
                </wp:wrapTight>
                <wp:docPr id="7"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63775" cy="2263775"/>
                        </a:xfrm>
                        <a:prstGeom prst="ellipse">
                          <a:avLst/>
                        </a:prstGeom>
                        <a:solidFill>
                          <a:srgbClr val="FF0000"/>
                        </a:solidFill>
                        <a:ln w="76200">
                          <a:solidFill>
                            <a:schemeClr val="accent1">
                              <a:lumMod val="25000"/>
                              <a:lumOff val="75000"/>
                            </a:schemeClr>
                          </a:solidFill>
                          <a:round/>
                          <a:headEnd/>
                          <a:tailEnd/>
                        </a:ln>
                      </wps:spPr>
                      <wps:txbx>
                        <w:txbxContent>
                          <w:p w:rsidR="00013229" w:rsidRPr="00BC3747" w:rsidRDefault="00013229">
                            <w:pPr>
                              <w:jc w:val="center"/>
                              <w:rPr>
                                <w:rFonts w:ascii="Freehand521 BT" w:hAnsi="Freehand521 BT" w:cstheme="minorBidi"/>
                                <w:i/>
                                <w:iCs/>
                                <w:color w:val="FFFFFF" w:themeColor="background1"/>
                                <w:sz w:val="28"/>
                                <w:szCs w:val="28"/>
                              </w:rPr>
                            </w:pPr>
                            <w:r w:rsidRPr="00BC3747">
                              <w:rPr>
                                <w:rFonts w:ascii="Freehand521 BT" w:hAnsi="Freehand521 BT" w:cstheme="minorBidi"/>
                                <w:i/>
                                <w:iCs/>
                                <w:color w:val="FFFFFF" w:themeColor="background1"/>
                              </w:rPr>
                              <w:t xml:space="preserve">La lettre d’information et d’opinion des représentants </w:t>
                            </w:r>
                            <w:r w:rsidRPr="00BC3747">
                              <w:rPr>
                                <w:b/>
                                <w:i/>
                                <w:iCs/>
                                <w:color w:val="FFFFFF" w:themeColor="background1"/>
                                <w:sz w:val="28"/>
                                <w:szCs w:val="28"/>
                              </w:rPr>
                              <w:t>CGT</w:t>
                            </w:r>
                            <w:r w:rsidRPr="00BC3747">
                              <w:rPr>
                                <w:rFonts w:ascii="Freehand521 BT" w:hAnsi="Freehand521 BT" w:cstheme="minorBidi"/>
                                <w:i/>
                                <w:iCs/>
                                <w:color w:val="FFFFFF" w:themeColor="background1"/>
                              </w:rPr>
                              <w:t xml:space="preserve"> en Commission Secondaire du Personnel Exécution / Maîtrise</w:t>
                            </w:r>
                            <w:r w:rsidRPr="00BC3747">
                              <w:rPr>
                                <w:rFonts w:ascii="Freehand521 BT" w:hAnsi="Freehand521 BT" w:cstheme="minorBidi"/>
                                <w:i/>
                                <w:iCs/>
                                <w:color w:val="FFFFFF" w:themeColor="background1"/>
                                <w:sz w:val="28"/>
                                <w:szCs w:val="28"/>
                              </w:rPr>
                              <w:t xml:space="preserve"> </w:t>
                            </w:r>
                          </w:p>
                        </w:txbxContent>
                      </wps:txbx>
                      <wps:bodyPr rot="0" vert="horz" wrap="square" lIns="9144" tIns="9144" rIns="9144" bIns="9144" anchor="ctr" anchorCtr="0" upright="1">
                        <a:noAutofit/>
                      </wps:bodyPr>
                    </wps:wsp>
                  </a:graphicData>
                </a:graphic>
                <wp14:sizeRelH relativeFrom="margin">
                  <wp14:pctWidth>0</wp14:pctWidth>
                </wp14:sizeRelH>
                <wp14:sizeRelV relativeFrom="margin">
                  <wp14:pctHeight>0</wp14:pctHeight>
                </wp14:sizeRelV>
              </wp:anchor>
            </w:drawing>
          </mc:Choice>
          <mc:Fallback>
            <w:pict>
              <v:oval id="Oval 4" o:spid="_x0000_s1026" style="position:absolute;left:0;text-align:left;margin-left:131.15pt;margin-top:-125.35pt;width:178.25pt;height:178.25pt;z-index:-251656192;visibility:visible;mso-wrap-style:square;mso-width-percent:0;mso-height-percent:0;mso-wrap-distance-left:9pt;mso-wrap-distance-top:0;mso-wrap-distance-right:9pt;mso-wrap-distance-bottom:17.85pt;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" o:allowincell="f" fillcolor="red" strokecolor="#d3dfee [820]" strokeweight="6pt">
                <o:lock v:ext="edit" aspectratio="t"/>
                <v:textbox inset=".72pt,.72pt,.72pt,.72pt">
                  <w:txbxContent>
                    <w:p w:rsidR="00013229" w:rsidRPr="00BC3747" w:rsidRDefault="00013229">
                      <w:pPr>
                        <w:jc w:val="center"/>
                        <w:rPr>
                          <w:rFonts w:ascii="Freehand521 BT" w:hAnsi="Freehand521 BT" w:cstheme="minorBidi"/>
                          <w:i/>
                          <w:iCs/>
                          <w:color w:val="FFFFFF" w:themeColor="background1"/>
                          <w:sz w:val="28"/>
                          <w:szCs w:val="28"/>
                        </w:rPr>
                      </w:pPr>
                      <w:r w:rsidRPr="00BC3747">
                        <w:rPr>
                          <w:rFonts w:ascii="Freehand521 BT" w:hAnsi="Freehand521 BT" w:cstheme="minorBidi"/>
                          <w:i/>
                          <w:iCs/>
                          <w:color w:val="FFFFFF" w:themeColor="background1"/>
                        </w:rPr>
                        <w:t xml:space="preserve">La lettre d’information et d’opinion des représentants </w:t>
                      </w:r>
                      <w:r w:rsidRPr="00BC3747">
                        <w:rPr>
                          <w:b/>
                          <w:i/>
                          <w:iCs/>
                          <w:color w:val="FFFFFF" w:themeColor="background1"/>
                          <w:sz w:val="28"/>
                          <w:szCs w:val="28"/>
                        </w:rPr>
                        <w:t>CGT</w:t>
                      </w:r>
                      <w:r w:rsidRPr="00BC3747">
                        <w:rPr>
                          <w:rFonts w:ascii="Freehand521 BT" w:hAnsi="Freehand521 BT" w:cstheme="minorBidi"/>
                          <w:i/>
                          <w:iCs/>
                          <w:color w:val="FFFFFF" w:themeColor="background1"/>
                        </w:rPr>
                        <w:t xml:space="preserve"> en Commission Secondaire du Personnel Exécution / Maîtrise</w:t>
                      </w:r>
                      <w:r w:rsidRPr="00BC3747">
                        <w:rPr>
                          <w:rFonts w:ascii="Freehand521 BT" w:hAnsi="Freehand521 BT" w:cstheme="minorBidi"/>
                          <w:i/>
                          <w:iCs/>
                          <w:color w:val="FFFFFF" w:themeColor="background1"/>
                          <w:sz w:val="28"/>
                          <w:szCs w:val="28"/>
                        </w:rPr>
                        <w:t xml:space="preserve"> </w:t>
                      </w:r>
                    </w:p>
                  </w:txbxContent>
                </v:textbox>
                <w10:wrap type="tight" anchorx="margin" anchory="margin"/>
              </v:oval>
            </w:pict>
          </mc:Fallback>
        </mc:AlternateContent>
      </w:r>
      <w:r>
        <w:rPr>
          <w:noProof/>
          <w:sz w:val="22"/>
          <w:szCs w:val="22"/>
        </w:rPr>
        <mc:AlternateContent>
          <mc:Choice Requires="wps">
            <w:drawing>
              <wp:anchor distT="0" distB="0" distL="114300" distR="114300" simplePos="0" relativeHeight="251657728" behindDoc="0" locked="0" layoutInCell="1" allowOverlap="1">
                <wp:simplePos x="0" y="0"/>
                <wp:positionH relativeFrom="column">
                  <wp:posOffset>4046220</wp:posOffset>
                </wp:positionH>
                <wp:positionV relativeFrom="paragraph">
                  <wp:posOffset>-1787525</wp:posOffset>
                </wp:positionV>
                <wp:extent cx="2642870" cy="1783080"/>
                <wp:effectExtent l="0" t="0" r="24130" b="2667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783080"/>
                        </a:xfrm>
                        <a:prstGeom prst="rect">
                          <a:avLst/>
                        </a:prstGeom>
                        <a:solidFill>
                          <a:srgbClr val="FFFFFF"/>
                        </a:solidFill>
                        <a:ln w="9525">
                          <a:solidFill>
                            <a:srgbClr val="FFFFFF"/>
                          </a:solidFill>
                          <a:miter lim="800000"/>
                          <a:headEnd/>
                          <a:tailEnd/>
                        </a:ln>
                      </wps:spPr>
                      <wps:txbx>
                        <w:txbxContent>
                          <w:p w:rsidR="00013229" w:rsidRDefault="00013229" w:rsidP="001D38FE">
                            <w:pPr>
                              <w:pStyle w:val="Titre1"/>
                              <w:ind w:left="-142" w:right="-69"/>
                              <w:jc w:val="center"/>
                            </w:pPr>
                          </w:p>
                          <w:p w:rsidR="00066E6B" w:rsidRDefault="00013229" w:rsidP="001D38FE">
                            <w:pPr>
                              <w:pStyle w:val="Titre1"/>
                              <w:ind w:left="-142" w:right="-69"/>
                              <w:jc w:val="center"/>
                            </w:pPr>
                            <w:r>
                              <w:br/>
                            </w:r>
                          </w:p>
                          <w:p w:rsidR="007868B8" w:rsidRPr="009445F1" w:rsidRDefault="00013229" w:rsidP="001D38FE">
                            <w:pPr>
                              <w:pStyle w:val="Titre1"/>
                              <w:ind w:left="-142" w:right="-69"/>
                              <w:jc w:val="center"/>
                            </w:pPr>
                            <w:r w:rsidRPr="009445F1">
                              <w:t xml:space="preserve">Commission Secondaire du Personnel </w:t>
                            </w:r>
                          </w:p>
                          <w:p w:rsidR="009445F1" w:rsidRPr="009445F1" w:rsidRDefault="00013229" w:rsidP="001D38FE">
                            <w:pPr>
                              <w:pStyle w:val="Titre1"/>
                              <w:ind w:left="-142" w:right="-69"/>
                              <w:jc w:val="center"/>
                            </w:pPr>
                            <w:r w:rsidRPr="009445F1">
                              <w:t>Exécution / Maîtrise</w:t>
                            </w:r>
                          </w:p>
                          <w:p w:rsidR="00013229" w:rsidRPr="009445F1" w:rsidRDefault="00013229" w:rsidP="001D38FE">
                            <w:pPr>
                              <w:pStyle w:val="Titre1"/>
                              <w:ind w:left="-142" w:right="-69"/>
                              <w:jc w:val="center"/>
                              <w:rPr>
                                <w:i/>
                                <w:color w:val="00B0F0"/>
                              </w:rPr>
                            </w:pPr>
                            <w:r w:rsidRPr="009445F1">
                              <w:t xml:space="preserve">du 26/03/2015 </w:t>
                            </w:r>
                          </w:p>
                          <w:p w:rsidR="00013229" w:rsidRPr="009445F1" w:rsidRDefault="00013229" w:rsidP="001D38FE">
                            <w:pPr>
                              <w:pStyle w:val="Titre1"/>
                              <w:ind w:left="-142" w:right="-69"/>
                              <w:jc w:val="center"/>
                              <w:rPr>
                                <w:color w:val="000000"/>
                              </w:rPr>
                            </w:pPr>
                            <w:r w:rsidRPr="009445F1">
                              <w:rPr>
                                <w:i/>
                                <w:color w:val="000000"/>
                              </w:rPr>
                              <w:t>Clamart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18.6pt;margin-top:-140.75pt;width:208.1pt;height:140.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" strokecolor="white">
                <v:textbox>
                  <w:txbxContent>
                    <w:p w:rsidR="00013229" w:rsidRDefault="00013229" w:rsidP="001D38FE">
                      <w:pPr>
                        <w:pStyle w:val="Titre1"/>
                        <w:ind w:left="-142" w:right="-69"/>
                        <w:jc w:val="center"/>
                      </w:pPr>
                    </w:p>
                    <w:p w:rsidR="00066E6B" w:rsidRDefault="00013229" w:rsidP="001D38FE">
                      <w:pPr>
                        <w:pStyle w:val="Titre1"/>
                        <w:ind w:left="-142" w:right="-69"/>
                        <w:jc w:val="center"/>
                      </w:pPr>
                      <w:r>
                        <w:br/>
                      </w:r>
                    </w:p>
                    <w:p w:rsidR="007868B8" w:rsidRPr="009445F1" w:rsidRDefault="00013229" w:rsidP="001D38FE">
                      <w:pPr>
                        <w:pStyle w:val="Titre1"/>
                        <w:ind w:left="-142" w:right="-69"/>
                        <w:jc w:val="center"/>
                      </w:pPr>
                      <w:r w:rsidRPr="009445F1">
                        <w:t xml:space="preserve">Commission Secondaire du Personnel </w:t>
                      </w:r>
                    </w:p>
                    <w:p w:rsidR="009445F1" w:rsidRPr="009445F1" w:rsidRDefault="00013229" w:rsidP="001D38FE">
                      <w:pPr>
                        <w:pStyle w:val="Titre1"/>
                        <w:ind w:left="-142" w:right="-69"/>
                        <w:jc w:val="center"/>
                      </w:pPr>
                      <w:r w:rsidRPr="009445F1">
                        <w:t>Exécution / Maîtrise</w:t>
                      </w:r>
                    </w:p>
                    <w:p w:rsidR="00013229" w:rsidRPr="009445F1" w:rsidRDefault="00013229" w:rsidP="001D38FE">
                      <w:pPr>
                        <w:pStyle w:val="Titre1"/>
                        <w:ind w:left="-142" w:right="-69"/>
                        <w:jc w:val="center"/>
                        <w:rPr>
                          <w:i/>
                          <w:color w:val="00B0F0"/>
                        </w:rPr>
                      </w:pPr>
                      <w:r w:rsidRPr="009445F1">
                        <w:t xml:space="preserve">du 26/03/2015 </w:t>
                      </w:r>
                    </w:p>
                    <w:p w:rsidR="00013229" w:rsidRPr="009445F1" w:rsidRDefault="00013229" w:rsidP="001D38FE">
                      <w:pPr>
                        <w:pStyle w:val="Titre1"/>
                        <w:ind w:left="-142" w:right="-69"/>
                        <w:jc w:val="center"/>
                        <w:rPr>
                          <w:color w:val="000000"/>
                        </w:rPr>
                      </w:pPr>
                      <w:r w:rsidRPr="009445F1">
                        <w:rPr>
                          <w:i/>
                          <w:color w:val="000000"/>
                        </w:rPr>
                        <w:t>Clamart</w:t>
                      </w:r>
                    </w:p>
                  </w:txbxContent>
                </v:textbox>
              </v:shape>
            </w:pict>
          </mc:Fallback>
        </mc:AlternateContent>
      </w:r>
    </w:p>
    <w:p w:rsidR="00BC3747" w:rsidRPr="008A23BE" w:rsidRDefault="00BC3747" w:rsidP="00502DB8">
      <w:pPr>
        <w:tabs>
          <w:tab w:val="left" w:pos="993"/>
        </w:tabs>
        <w:spacing w:after="120"/>
        <w:jc w:val="both"/>
        <w:rPr>
          <w:b/>
          <w:bCs/>
          <w:sz w:val="20"/>
          <w:szCs w:val="20"/>
          <w:u w:val="single"/>
        </w:rPr>
      </w:pPr>
    </w:p>
    <w:p w:rsidR="00590D41" w:rsidRPr="008A23BE" w:rsidRDefault="00590D41" w:rsidP="00C24AA9">
      <w:pPr>
        <w:tabs>
          <w:tab w:val="left" w:pos="993"/>
        </w:tabs>
        <w:spacing w:after="120"/>
        <w:ind w:left="57"/>
        <w:jc w:val="both"/>
        <w:rPr>
          <w:b/>
          <w:bCs/>
          <w:sz w:val="20"/>
          <w:szCs w:val="20"/>
          <w:u w:val="single"/>
        </w:rPr>
      </w:pPr>
    </w:p>
    <w:p w:rsidR="004E2B46" w:rsidRPr="008A23BE" w:rsidRDefault="004E2B46" w:rsidP="00502DB8">
      <w:pPr>
        <w:tabs>
          <w:tab w:val="left" w:pos="993"/>
        </w:tabs>
        <w:spacing w:after="120"/>
        <w:jc w:val="both"/>
        <w:rPr>
          <w:b/>
          <w:bCs/>
          <w:sz w:val="20"/>
          <w:szCs w:val="20"/>
          <w:u w:val="single"/>
        </w:rPr>
      </w:pPr>
      <w:r w:rsidRPr="008A23BE">
        <w:rPr>
          <w:sz w:val="20"/>
          <w:szCs w:val="20"/>
        </w:rPr>
        <w:sym w:font="Wingdings" w:char="F040"/>
      </w:r>
      <w:r w:rsidRPr="008A23BE">
        <w:rPr>
          <w:b/>
          <w:bCs/>
          <w:sz w:val="20"/>
          <w:szCs w:val="20"/>
          <w:u w:val="single"/>
        </w:rPr>
        <w:t xml:space="preserve"> </w:t>
      </w:r>
      <w:r w:rsidR="00E060FB" w:rsidRPr="008A23BE">
        <w:rPr>
          <w:b/>
          <w:bCs/>
          <w:sz w:val="20"/>
          <w:szCs w:val="20"/>
          <w:u w:val="single"/>
        </w:rPr>
        <w:t xml:space="preserve">Déclaration </w:t>
      </w:r>
      <w:r w:rsidR="00BC3747" w:rsidRPr="008A23BE">
        <w:rPr>
          <w:b/>
          <w:bCs/>
          <w:sz w:val="20"/>
          <w:szCs w:val="20"/>
          <w:u w:val="single"/>
        </w:rPr>
        <w:t xml:space="preserve">de la délégation </w:t>
      </w:r>
      <w:r w:rsidR="00E060FB" w:rsidRPr="008A23BE">
        <w:rPr>
          <w:b/>
          <w:bCs/>
          <w:sz w:val="20"/>
          <w:szCs w:val="20"/>
          <w:u w:val="single"/>
        </w:rPr>
        <w:t xml:space="preserve">CGT </w:t>
      </w:r>
    </w:p>
    <w:p w:rsidR="002B0C4A" w:rsidRPr="00502DB8" w:rsidRDefault="00F91F70" w:rsidP="00502DB8">
      <w:pPr>
        <w:jc w:val="both"/>
        <w:rPr>
          <w:sz w:val="20"/>
          <w:szCs w:val="20"/>
        </w:rPr>
      </w:pPr>
      <w:r w:rsidRPr="00502DB8">
        <w:rPr>
          <w:i/>
          <w:color w:val="000000"/>
          <w:sz w:val="20"/>
          <w:szCs w:val="20"/>
        </w:rPr>
        <w:t>«</w:t>
      </w:r>
      <w:r w:rsidR="002B0C4A" w:rsidRPr="00502DB8">
        <w:rPr>
          <w:sz w:val="20"/>
          <w:szCs w:val="20"/>
        </w:rPr>
        <w:t>Nous constatons que comme l’année passée le taux de double NR est de 10% alors que suivant la note initiale qui a suivi la mise en œuvre de la nouvelle g</w:t>
      </w:r>
      <w:r w:rsidR="002B0C4A" w:rsidRPr="00502DB8">
        <w:rPr>
          <w:b/>
          <w:sz w:val="20"/>
          <w:szCs w:val="20"/>
        </w:rPr>
        <w:t>r</w:t>
      </w:r>
      <w:r w:rsidR="002B0C4A" w:rsidRPr="00502DB8">
        <w:rPr>
          <w:sz w:val="20"/>
          <w:szCs w:val="20"/>
        </w:rPr>
        <w:t>ille, il était annoncé à un minimum de 60%.»</w:t>
      </w:r>
    </w:p>
    <w:p w:rsidR="002B0C4A" w:rsidRDefault="002B0C4A" w:rsidP="00502DB8">
      <w:pPr>
        <w:jc w:val="both"/>
        <w:rPr>
          <w:sz w:val="20"/>
          <w:szCs w:val="20"/>
        </w:rPr>
      </w:pPr>
      <w:r w:rsidRPr="00502DB8">
        <w:rPr>
          <w:sz w:val="20"/>
          <w:szCs w:val="20"/>
        </w:rPr>
        <w:t xml:space="preserve">« Dans le </w:t>
      </w:r>
      <w:r w:rsidR="002C0A4F" w:rsidRPr="00502DB8">
        <w:rPr>
          <w:sz w:val="20"/>
          <w:szCs w:val="20"/>
        </w:rPr>
        <w:t>procès-verbal</w:t>
      </w:r>
      <w:r w:rsidRPr="00502DB8">
        <w:rPr>
          <w:sz w:val="20"/>
          <w:szCs w:val="20"/>
        </w:rPr>
        <w:t xml:space="preserve"> de la commission secondaire du 26 juin 2014, nous avions déjà signalé cet écart considérable.  Pourtant dans la présentation de la nouvelle grille instituant des NR intermédiaires, les multiples NR et l’augmentation de la fréquence d’attribution devaient permettre d’améliorer les évolutions salariales des agents au regard de leur travail.»</w:t>
      </w:r>
    </w:p>
    <w:p w:rsidR="00502DB8" w:rsidRPr="00502DB8" w:rsidRDefault="00502DB8" w:rsidP="00502DB8">
      <w:pPr>
        <w:rPr>
          <w:sz w:val="20"/>
          <w:szCs w:val="20"/>
        </w:rPr>
      </w:pPr>
    </w:p>
    <w:p w:rsidR="002B0C4A" w:rsidRPr="008A23BE" w:rsidRDefault="002B0C4A" w:rsidP="00502DB8">
      <w:pPr>
        <w:spacing w:after="120"/>
        <w:rPr>
          <w:b/>
          <w:bCs/>
          <w:sz w:val="20"/>
          <w:szCs w:val="20"/>
          <w:u w:val="single"/>
        </w:rPr>
      </w:pPr>
      <w:r w:rsidRPr="008A23BE">
        <w:rPr>
          <w:sz w:val="20"/>
          <w:szCs w:val="20"/>
        </w:rPr>
        <w:sym w:font="Wingdings" w:char="F040"/>
      </w:r>
      <w:r w:rsidRPr="008A23BE">
        <w:rPr>
          <w:b/>
          <w:bCs/>
          <w:sz w:val="20"/>
          <w:szCs w:val="20"/>
          <w:u w:val="single"/>
        </w:rPr>
        <w:t xml:space="preserve">  Réponse de la direction : </w:t>
      </w:r>
    </w:p>
    <w:p w:rsidR="00EC6D2E" w:rsidRDefault="002B0C4A" w:rsidP="00502DB8">
      <w:pPr>
        <w:jc w:val="both"/>
        <w:rPr>
          <w:bCs/>
          <w:sz w:val="20"/>
          <w:szCs w:val="20"/>
        </w:rPr>
      </w:pPr>
      <w:r w:rsidRPr="008A23BE">
        <w:rPr>
          <w:bCs/>
          <w:sz w:val="20"/>
          <w:szCs w:val="20"/>
        </w:rPr>
        <w:t>« </w:t>
      </w:r>
      <w:r w:rsidR="00CB48D8" w:rsidRPr="008A23BE">
        <w:rPr>
          <w:bCs/>
          <w:sz w:val="20"/>
          <w:szCs w:val="20"/>
        </w:rPr>
        <w:t>Vous fa</w:t>
      </w:r>
      <w:r w:rsidR="00EE05DA">
        <w:rPr>
          <w:bCs/>
          <w:sz w:val="20"/>
          <w:szCs w:val="20"/>
        </w:rPr>
        <w:t>i</w:t>
      </w:r>
      <w:r w:rsidR="00CB48D8" w:rsidRPr="008A23BE">
        <w:rPr>
          <w:bCs/>
          <w:sz w:val="20"/>
          <w:szCs w:val="20"/>
        </w:rPr>
        <w:t>tes  allusion à un texte proposé au tout début de l’accord et ce texte n’a plus</w:t>
      </w:r>
      <w:r w:rsidR="002C0A4F">
        <w:rPr>
          <w:bCs/>
          <w:sz w:val="20"/>
          <w:szCs w:val="20"/>
        </w:rPr>
        <w:t xml:space="preserve"> du tout</w:t>
      </w:r>
      <w:r w:rsidR="002C0A4F" w:rsidRPr="008A23BE">
        <w:rPr>
          <w:bCs/>
          <w:sz w:val="20"/>
          <w:szCs w:val="20"/>
        </w:rPr>
        <w:t xml:space="preserve"> court</w:t>
      </w:r>
      <w:r w:rsidR="00CB48D8" w:rsidRPr="008A23BE">
        <w:rPr>
          <w:bCs/>
          <w:sz w:val="20"/>
          <w:szCs w:val="20"/>
        </w:rPr>
        <w:t>. Il n’est plus question aujourd</w:t>
      </w:r>
      <w:r w:rsidR="00DE791C">
        <w:rPr>
          <w:bCs/>
          <w:sz w:val="20"/>
          <w:szCs w:val="20"/>
        </w:rPr>
        <w:t xml:space="preserve">’hui d’avoir un pourcentage de double NR qui serait fixé par quoique ce soit, il n’y a plus aucun texte la </w:t>
      </w:r>
      <w:r w:rsidR="00CB48D8" w:rsidRPr="008A23BE">
        <w:rPr>
          <w:bCs/>
          <w:sz w:val="20"/>
          <w:szCs w:val="20"/>
        </w:rPr>
        <w:t>dessus. A l’époque de la mise en place de la première grille et d</w:t>
      </w:r>
      <w:r w:rsidR="00DE791C">
        <w:rPr>
          <w:bCs/>
          <w:sz w:val="20"/>
          <w:szCs w:val="20"/>
        </w:rPr>
        <w:t xml:space="preserve">’ailleurs aussi quand </w:t>
      </w:r>
      <w:r w:rsidR="001C4287">
        <w:rPr>
          <w:bCs/>
          <w:sz w:val="20"/>
          <w:szCs w:val="20"/>
        </w:rPr>
        <w:t>on</w:t>
      </w:r>
      <w:r w:rsidR="00DE791C">
        <w:rPr>
          <w:bCs/>
          <w:sz w:val="20"/>
          <w:szCs w:val="20"/>
        </w:rPr>
        <w:t xml:space="preserve"> a  </w:t>
      </w:r>
      <w:r w:rsidR="001C4287">
        <w:rPr>
          <w:bCs/>
          <w:sz w:val="20"/>
          <w:szCs w:val="20"/>
        </w:rPr>
        <w:t>re</w:t>
      </w:r>
      <w:r w:rsidR="00DE791C">
        <w:rPr>
          <w:bCs/>
          <w:sz w:val="20"/>
          <w:szCs w:val="20"/>
        </w:rPr>
        <w:t>coupée en deux</w:t>
      </w:r>
      <w:r w:rsidR="001C4287">
        <w:rPr>
          <w:bCs/>
          <w:sz w:val="20"/>
          <w:szCs w:val="20"/>
        </w:rPr>
        <w:t xml:space="preserve"> la grille,</w:t>
      </w:r>
      <w:r w:rsidR="00DE791C">
        <w:rPr>
          <w:bCs/>
          <w:sz w:val="20"/>
          <w:szCs w:val="20"/>
        </w:rPr>
        <w:t xml:space="preserve"> le taux de l’inflation avait un certain niveau  qui justifiait des niveau</w:t>
      </w:r>
      <w:r w:rsidR="001C4287">
        <w:rPr>
          <w:bCs/>
          <w:sz w:val="20"/>
          <w:szCs w:val="20"/>
        </w:rPr>
        <w:t>x</w:t>
      </w:r>
      <w:r w:rsidR="00DE791C">
        <w:rPr>
          <w:bCs/>
          <w:sz w:val="20"/>
          <w:szCs w:val="20"/>
        </w:rPr>
        <w:t xml:space="preserve"> de NR plus élevés</w:t>
      </w:r>
      <w:r w:rsidR="007D52FF">
        <w:rPr>
          <w:bCs/>
          <w:sz w:val="20"/>
          <w:szCs w:val="20"/>
        </w:rPr>
        <w:t>.</w:t>
      </w:r>
      <w:r w:rsidR="00DE791C">
        <w:rPr>
          <w:bCs/>
          <w:sz w:val="20"/>
          <w:szCs w:val="20"/>
        </w:rPr>
        <w:t xml:space="preserve"> Aujourd’hui l’inflation est extrêmement faible et les pourcentages d’augmentation non plus du </w:t>
      </w:r>
      <w:r w:rsidR="002C0A4F">
        <w:rPr>
          <w:bCs/>
          <w:sz w:val="20"/>
          <w:szCs w:val="20"/>
        </w:rPr>
        <w:t>tous</w:t>
      </w:r>
      <w:r w:rsidR="001578AA" w:rsidRPr="008A23BE">
        <w:rPr>
          <w:bCs/>
          <w:sz w:val="20"/>
          <w:szCs w:val="20"/>
        </w:rPr>
        <w:t xml:space="preserve"> les mêmes valeurs et les mêmes incidences</w:t>
      </w:r>
      <w:r w:rsidR="00683FFA" w:rsidRPr="008A23BE">
        <w:rPr>
          <w:bCs/>
          <w:sz w:val="20"/>
          <w:szCs w:val="20"/>
        </w:rPr>
        <w:t xml:space="preserve">. Notre grille date de 1982, à cette époque l’inflation devait tourner </w:t>
      </w:r>
      <w:r w:rsidR="002C0A4F" w:rsidRPr="008A23BE">
        <w:rPr>
          <w:bCs/>
          <w:sz w:val="20"/>
          <w:szCs w:val="20"/>
        </w:rPr>
        <w:t>au-delà</w:t>
      </w:r>
      <w:r w:rsidR="00683FFA" w:rsidRPr="008A23BE">
        <w:rPr>
          <w:bCs/>
          <w:sz w:val="20"/>
          <w:szCs w:val="20"/>
        </w:rPr>
        <w:t xml:space="preserve"> de 7%</w:t>
      </w:r>
      <w:r w:rsidR="005273D1" w:rsidRPr="008A23BE">
        <w:rPr>
          <w:bCs/>
          <w:sz w:val="20"/>
          <w:szCs w:val="20"/>
        </w:rPr>
        <w:t xml:space="preserve"> et qu’à l’époque quand on avait mis </w:t>
      </w:r>
      <w:r w:rsidR="001C4287">
        <w:rPr>
          <w:bCs/>
          <w:sz w:val="20"/>
          <w:szCs w:val="20"/>
        </w:rPr>
        <w:t>d</w:t>
      </w:r>
      <w:r w:rsidR="005273D1" w:rsidRPr="008A23BE">
        <w:rPr>
          <w:bCs/>
          <w:sz w:val="20"/>
          <w:szCs w:val="20"/>
        </w:rPr>
        <w:t xml:space="preserve">es NR avec un pas de 5% c’était inférieur à l’inflation d’une année et qu’aujourd’hui nous avons </w:t>
      </w:r>
      <w:r w:rsidR="00EF5753" w:rsidRPr="008A23BE">
        <w:rPr>
          <w:bCs/>
          <w:sz w:val="20"/>
          <w:szCs w:val="20"/>
        </w:rPr>
        <w:t>une</w:t>
      </w:r>
      <w:r w:rsidR="005273D1" w:rsidRPr="008A23BE">
        <w:rPr>
          <w:bCs/>
          <w:sz w:val="20"/>
          <w:szCs w:val="20"/>
        </w:rPr>
        <w:t xml:space="preserve"> inflation quasi nulle et nous avons des NR qui sont quand même encore à 2,5</w:t>
      </w:r>
      <w:r w:rsidR="00F958CB" w:rsidRPr="008A23BE">
        <w:rPr>
          <w:bCs/>
          <w:sz w:val="20"/>
          <w:szCs w:val="20"/>
        </w:rPr>
        <w:t>%. Un gain de NR aujourd’hui n’a pas du tout les  mêmes incidences</w:t>
      </w:r>
      <w:r w:rsidR="00AC69DB" w:rsidRPr="008A23BE">
        <w:rPr>
          <w:bCs/>
          <w:sz w:val="20"/>
          <w:szCs w:val="20"/>
        </w:rPr>
        <w:t xml:space="preserve"> sur le pouvoir d’achat que ce qu’il pouvait avoir à l’époque, et qu’il faut bien remettre les choses dans leur contexte </w:t>
      </w:r>
      <w:r w:rsidR="00CE4889" w:rsidRPr="008A23BE">
        <w:rPr>
          <w:bCs/>
          <w:sz w:val="20"/>
          <w:szCs w:val="20"/>
        </w:rPr>
        <w:t>ce qui change complètement la nature de ce que l’on voit dans les augmentations. Cela n’enlève pas le fait qu’il ne soit pas attribué plus mais c’est un autre débat</w:t>
      </w:r>
      <w:r w:rsidR="009B799B" w:rsidRPr="008A23BE">
        <w:rPr>
          <w:bCs/>
          <w:sz w:val="20"/>
          <w:szCs w:val="20"/>
        </w:rPr>
        <w:t>.</w:t>
      </w:r>
      <w:r w:rsidR="00CE4889" w:rsidRPr="008A23BE">
        <w:rPr>
          <w:bCs/>
          <w:sz w:val="20"/>
          <w:szCs w:val="20"/>
        </w:rPr>
        <w:t> </w:t>
      </w:r>
      <w:r w:rsidR="00EF5753" w:rsidRPr="008A23BE">
        <w:rPr>
          <w:bCs/>
          <w:sz w:val="20"/>
          <w:szCs w:val="20"/>
        </w:rPr>
        <w:t xml:space="preserve">Quelqu’un qui a un double NR est quelqu’un qui a </w:t>
      </w:r>
      <w:r w:rsidR="00E439CB" w:rsidRPr="008A23BE">
        <w:rPr>
          <w:bCs/>
          <w:sz w:val="20"/>
          <w:szCs w:val="20"/>
        </w:rPr>
        <w:t xml:space="preserve">vraiment </w:t>
      </w:r>
      <w:r w:rsidR="00EF5753" w:rsidRPr="008A23BE">
        <w:rPr>
          <w:bCs/>
          <w:sz w:val="20"/>
          <w:szCs w:val="20"/>
        </w:rPr>
        <w:t xml:space="preserve">exceptionnellement </w:t>
      </w:r>
      <w:r w:rsidR="00502DB8">
        <w:rPr>
          <w:bCs/>
          <w:sz w:val="20"/>
          <w:szCs w:val="20"/>
        </w:rPr>
        <w:t>b</w:t>
      </w:r>
      <w:r w:rsidR="00502DB8" w:rsidRPr="008A23BE">
        <w:rPr>
          <w:bCs/>
          <w:sz w:val="20"/>
          <w:szCs w:val="20"/>
        </w:rPr>
        <w:t>ien travaillé donc c’est normal qu’il n’y en ait que</w:t>
      </w:r>
      <w:r w:rsidR="001C4287">
        <w:rPr>
          <w:bCs/>
          <w:sz w:val="20"/>
          <w:szCs w:val="20"/>
        </w:rPr>
        <w:t xml:space="preserve"> </w:t>
      </w:r>
      <w:r w:rsidR="00502DB8" w:rsidRPr="008A23BE">
        <w:rPr>
          <w:bCs/>
          <w:sz w:val="20"/>
          <w:szCs w:val="20"/>
        </w:rPr>
        <w:t xml:space="preserve">10%. Et c’est très bien qu’il y en ait 10% quand </w:t>
      </w:r>
    </w:p>
    <w:p w:rsidR="00EC6D2E" w:rsidRDefault="00EC6D2E" w:rsidP="00502DB8">
      <w:pPr>
        <w:jc w:val="both"/>
        <w:rPr>
          <w:bCs/>
          <w:sz w:val="20"/>
          <w:szCs w:val="20"/>
        </w:rPr>
      </w:pPr>
    </w:p>
    <w:p w:rsidR="00EC6D2E" w:rsidRDefault="00EC6D2E" w:rsidP="00502DB8">
      <w:pPr>
        <w:jc w:val="both"/>
        <w:rPr>
          <w:bCs/>
          <w:sz w:val="20"/>
          <w:szCs w:val="20"/>
        </w:rPr>
      </w:pPr>
    </w:p>
    <w:p w:rsidR="00EC6D2E" w:rsidRDefault="00EC6D2E" w:rsidP="00502DB8">
      <w:pPr>
        <w:jc w:val="both"/>
        <w:rPr>
          <w:bCs/>
          <w:sz w:val="20"/>
          <w:szCs w:val="20"/>
        </w:rPr>
      </w:pPr>
    </w:p>
    <w:p w:rsidR="00EC6D2E" w:rsidRDefault="00EC6D2E" w:rsidP="00502DB8">
      <w:pPr>
        <w:jc w:val="both"/>
        <w:rPr>
          <w:bCs/>
          <w:sz w:val="20"/>
          <w:szCs w:val="20"/>
        </w:rPr>
      </w:pPr>
    </w:p>
    <w:p w:rsidR="009977BD" w:rsidRDefault="009977BD" w:rsidP="00502DB8">
      <w:pPr>
        <w:jc w:val="both"/>
        <w:rPr>
          <w:bCs/>
          <w:sz w:val="20"/>
          <w:szCs w:val="20"/>
        </w:rPr>
      </w:pPr>
    </w:p>
    <w:p w:rsidR="00502DB8" w:rsidRDefault="00502DB8" w:rsidP="00502DB8">
      <w:pPr>
        <w:jc w:val="both"/>
        <w:rPr>
          <w:bCs/>
          <w:sz w:val="20"/>
          <w:szCs w:val="20"/>
        </w:rPr>
      </w:pPr>
      <w:r w:rsidRPr="008A23BE">
        <w:rPr>
          <w:bCs/>
          <w:sz w:val="20"/>
          <w:szCs w:val="20"/>
        </w:rPr>
        <w:t>même car il y avait un autre risque qu’il n’y en ait plus du tout.</w:t>
      </w:r>
      <w:r>
        <w:rPr>
          <w:bCs/>
          <w:sz w:val="20"/>
          <w:szCs w:val="20"/>
        </w:rPr>
        <w:t> »</w:t>
      </w:r>
    </w:p>
    <w:p w:rsidR="00F80076" w:rsidRPr="008A23BE" w:rsidRDefault="00F80076" w:rsidP="00502DB8">
      <w:pPr>
        <w:jc w:val="both"/>
        <w:rPr>
          <w:color w:val="000000"/>
          <w:sz w:val="20"/>
          <w:szCs w:val="20"/>
        </w:rPr>
      </w:pPr>
    </w:p>
    <w:p w:rsidR="00D84683" w:rsidRDefault="00D84683" w:rsidP="00D84683">
      <w:pPr>
        <w:spacing w:after="120"/>
        <w:jc w:val="both"/>
        <w:rPr>
          <w:b/>
          <w:bCs/>
          <w:sz w:val="20"/>
          <w:szCs w:val="20"/>
          <w:u w:val="single"/>
        </w:rPr>
      </w:pPr>
      <w:r w:rsidRPr="008A23BE">
        <w:rPr>
          <w:sz w:val="20"/>
          <w:szCs w:val="20"/>
        </w:rPr>
        <w:sym w:font="Wingdings" w:char="F040"/>
      </w:r>
      <w:r w:rsidRPr="008A23BE">
        <w:rPr>
          <w:b/>
          <w:bCs/>
          <w:sz w:val="20"/>
          <w:szCs w:val="20"/>
          <w:u w:val="single"/>
        </w:rPr>
        <w:t xml:space="preserve"> </w:t>
      </w:r>
      <w:r>
        <w:rPr>
          <w:b/>
          <w:bCs/>
          <w:sz w:val="20"/>
          <w:szCs w:val="20"/>
          <w:u w:val="single"/>
        </w:rPr>
        <w:t xml:space="preserve">Remarque </w:t>
      </w:r>
      <w:r w:rsidRPr="008A23BE">
        <w:rPr>
          <w:b/>
          <w:bCs/>
          <w:sz w:val="20"/>
          <w:szCs w:val="20"/>
          <w:u w:val="single"/>
        </w:rPr>
        <w:t xml:space="preserve">de la délégation CGT </w:t>
      </w:r>
    </w:p>
    <w:p w:rsidR="002B0C4A" w:rsidRDefault="00596B86" w:rsidP="00502DB8">
      <w:pPr>
        <w:jc w:val="both"/>
        <w:rPr>
          <w:sz w:val="20"/>
          <w:szCs w:val="20"/>
        </w:rPr>
      </w:pPr>
      <w:r w:rsidRPr="008A23BE">
        <w:rPr>
          <w:sz w:val="20"/>
          <w:szCs w:val="20"/>
        </w:rPr>
        <w:t>Nous faisons remarquer qu</w:t>
      </w:r>
      <w:r w:rsidR="00013229">
        <w:rPr>
          <w:sz w:val="20"/>
          <w:szCs w:val="20"/>
        </w:rPr>
        <w:t>’un NR</w:t>
      </w:r>
      <w:r w:rsidRPr="008A23BE">
        <w:rPr>
          <w:sz w:val="20"/>
          <w:szCs w:val="20"/>
        </w:rPr>
        <w:t xml:space="preserve"> reste un % d’augmentation et </w:t>
      </w:r>
      <w:r w:rsidR="008A23BE" w:rsidRPr="008A23BE">
        <w:rPr>
          <w:sz w:val="20"/>
          <w:szCs w:val="20"/>
        </w:rPr>
        <w:t>qu’il</w:t>
      </w:r>
      <w:r w:rsidRPr="008A23BE">
        <w:rPr>
          <w:sz w:val="20"/>
          <w:szCs w:val="20"/>
        </w:rPr>
        <w:t xml:space="preserve"> y a des différences entre les collèges</w:t>
      </w:r>
      <w:r w:rsidR="008A23BE" w:rsidRPr="008A23BE">
        <w:rPr>
          <w:sz w:val="20"/>
          <w:szCs w:val="20"/>
        </w:rPr>
        <w:t xml:space="preserve">. Nous constatons que les taux de double NR sont supérieurs dans d’autres collèges notamment dans </w:t>
      </w:r>
      <w:r w:rsidR="008D5513">
        <w:rPr>
          <w:sz w:val="20"/>
          <w:szCs w:val="20"/>
        </w:rPr>
        <w:t xml:space="preserve">le collège où se trouve la </w:t>
      </w:r>
      <w:r w:rsidR="008A23BE" w:rsidRPr="008A23BE">
        <w:rPr>
          <w:sz w:val="20"/>
          <w:szCs w:val="20"/>
        </w:rPr>
        <w:t xml:space="preserve"> population des hiérarchiques où le taux de double NR est  bien supérieur à celui du collège exécution maîtrise</w:t>
      </w:r>
      <w:r w:rsidR="00013229">
        <w:rPr>
          <w:sz w:val="20"/>
          <w:szCs w:val="20"/>
        </w:rPr>
        <w:t>.</w:t>
      </w:r>
    </w:p>
    <w:p w:rsidR="00C47C7C" w:rsidRPr="008A23BE" w:rsidRDefault="00C47C7C" w:rsidP="00502DB8">
      <w:pPr>
        <w:jc w:val="both"/>
        <w:rPr>
          <w:sz w:val="20"/>
          <w:szCs w:val="20"/>
        </w:rPr>
      </w:pPr>
    </w:p>
    <w:p w:rsidR="008A23BE" w:rsidRPr="00502DB8" w:rsidRDefault="008A23BE" w:rsidP="00502DB8">
      <w:pPr>
        <w:spacing w:after="120"/>
        <w:rPr>
          <w:b/>
          <w:bCs/>
          <w:sz w:val="20"/>
          <w:szCs w:val="20"/>
          <w:u w:val="single"/>
        </w:rPr>
      </w:pPr>
      <w:r w:rsidRPr="00502DB8">
        <w:rPr>
          <w:sz w:val="20"/>
          <w:szCs w:val="20"/>
        </w:rPr>
        <w:sym w:font="Wingdings" w:char="F040"/>
      </w:r>
      <w:r w:rsidRPr="00502DB8">
        <w:rPr>
          <w:b/>
          <w:bCs/>
          <w:sz w:val="20"/>
          <w:szCs w:val="20"/>
          <w:u w:val="single"/>
        </w:rPr>
        <w:t xml:space="preserve">  Réponse de la direction : </w:t>
      </w:r>
    </w:p>
    <w:p w:rsidR="002B0C4A" w:rsidRDefault="008A23BE" w:rsidP="0036412A">
      <w:pPr>
        <w:jc w:val="both"/>
        <w:rPr>
          <w:sz w:val="20"/>
          <w:szCs w:val="20"/>
        </w:rPr>
      </w:pPr>
      <w:r w:rsidRPr="008A23BE">
        <w:rPr>
          <w:sz w:val="20"/>
          <w:szCs w:val="20"/>
        </w:rPr>
        <w:t xml:space="preserve">L’enveloppe n’est </w:t>
      </w:r>
      <w:r w:rsidR="002C0A4F">
        <w:rPr>
          <w:sz w:val="20"/>
          <w:szCs w:val="20"/>
        </w:rPr>
        <w:t>pas</w:t>
      </w:r>
      <w:r w:rsidR="002C0A4F" w:rsidRPr="008A23BE">
        <w:rPr>
          <w:sz w:val="20"/>
          <w:szCs w:val="20"/>
        </w:rPr>
        <w:t xml:space="preserve"> </w:t>
      </w:r>
      <w:r w:rsidRPr="008A23BE">
        <w:rPr>
          <w:sz w:val="20"/>
          <w:szCs w:val="20"/>
        </w:rPr>
        <w:t xml:space="preserve">exactement la </w:t>
      </w:r>
      <w:r w:rsidR="00502DB8" w:rsidRPr="008A23BE">
        <w:rPr>
          <w:sz w:val="20"/>
          <w:szCs w:val="20"/>
        </w:rPr>
        <w:t>même,</w:t>
      </w:r>
      <w:r w:rsidRPr="008A23BE">
        <w:rPr>
          <w:sz w:val="20"/>
          <w:szCs w:val="20"/>
        </w:rPr>
        <w:t xml:space="preserve"> c’est une règle d’entreprise</w:t>
      </w:r>
      <w:r w:rsidR="00502DB8">
        <w:rPr>
          <w:sz w:val="20"/>
          <w:szCs w:val="20"/>
        </w:rPr>
        <w:t>.</w:t>
      </w:r>
    </w:p>
    <w:p w:rsidR="00502DB8" w:rsidRPr="008A23BE" w:rsidRDefault="00502DB8" w:rsidP="002B0C4A">
      <w:pPr>
        <w:rPr>
          <w:sz w:val="20"/>
          <w:szCs w:val="20"/>
        </w:rPr>
      </w:pPr>
    </w:p>
    <w:p w:rsidR="00502DB8" w:rsidRDefault="00502DB8" w:rsidP="00502DB8">
      <w:pPr>
        <w:tabs>
          <w:tab w:val="left" w:pos="993"/>
        </w:tabs>
        <w:spacing w:after="120"/>
        <w:jc w:val="both"/>
        <w:rPr>
          <w:b/>
          <w:bCs/>
          <w:sz w:val="20"/>
          <w:szCs w:val="20"/>
          <w:u w:val="single"/>
        </w:rPr>
      </w:pPr>
      <w:r w:rsidRPr="008A23BE">
        <w:rPr>
          <w:sz w:val="20"/>
          <w:szCs w:val="20"/>
        </w:rPr>
        <w:sym w:font="Wingdings" w:char="F040"/>
      </w:r>
      <w:r w:rsidRPr="008A23BE">
        <w:rPr>
          <w:b/>
          <w:bCs/>
          <w:sz w:val="20"/>
          <w:szCs w:val="20"/>
          <w:u w:val="single"/>
        </w:rPr>
        <w:t xml:space="preserve"> </w:t>
      </w:r>
      <w:r w:rsidR="00B9265E">
        <w:rPr>
          <w:b/>
          <w:bCs/>
          <w:sz w:val="20"/>
          <w:szCs w:val="20"/>
          <w:u w:val="single"/>
        </w:rPr>
        <w:t>Informations</w:t>
      </w:r>
      <w:r>
        <w:rPr>
          <w:b/>
          <w:bCs/>
          <w:sz w:val="20"/>
          <w:szCs w:val="20"/>
          <w:u w:val="single"/>
        </w:rPr>
        <w:t xml:space="preserve"> </w:t>
      </w:r>
      <w:r w:rsidR="00054A95">
        <w:rPr>
          <w:b/>
          <w:bCs/>
          <w:sz w:val="20"/>
          <w:szCs w:val="20"/>
          <w:u w:val="single"/>
        </w:rPr>
        <w:t xml:space="preserve">au personnel </w:t>
      </w:r>
      <w:r w:rsidRPr="008A23BE">
        <w:rPr>
          <w:b/>
          <w:bCs/>
          <w:sz w:val="20"/>
          <w:szCs w:val="20"/>
          <w:u w:val="single"/>
        </w:rPr>
        <w:t xml:space="preserve">de la délégation CGT </w:t>
      </w:r>
    </w:p>
    <w:p w:rsidR="00DB15EC" w:rsidRPr="000E7EDC" w:rsidRDefault="00DB15EC" w:rsidP="00502DB8">
      <w:pPr>
        <w:tabs>
          <w:tab w:val="left" w:pos="993"/>
        </w:tabs>
        <w:spacing w:after="120"/>
        <w:jc w:val="both"/>
        <w:rPr>
          <w:bCs/>
          <w:sz w:val="20"/>
          <w:szCs w:val="20"/>
        </w:rPr>
      </w:pPr>
      <w:r w:rsidRPr="000E7EDC">
        <w:rPr>
          <w:bCs/>
          <w:sz w:val="20"/>
          <w:szCs w:val="20"/>
        </w:rPr>
        <w:t xml:space="preserve">Pour rappel, auparavant le </w:t>
      </w:r>
      <w:r w:rsidR="000E7EDC" w:rsidRPr="000E7EDC">
        <w:rPr>
          <w:bCs/>
          <w:sz w:val="20"/>
          <w:szCs w:val="20"/>
        </w:rPr>
        <w:t>rattrapage</w:t>
      </w:r>
      <w:r w:rsidRPr="000E7EDC">
        <w:rPr>
          <w:bCs/>
          <w:sz w:val="20"/>
          <w:szCs w:val="20"/>
        </w:rPr>
        <w:t xml:space="preserve"> de l’inflation se faisait exclusivement par ajustement du SNB (Salaire National de Base) et non via l’attribution de NR</w:t>
      </w:r>
      <w:r w:rsidR="000E7EDC" w:rsidRPr="000E7EDC">
        <w:rPr>
          <w:bCs/>
          <w:sz w:val="20"/>
          <w:szCs w:val="20"/>
        </w:rPr>
        <w:t>. Un agent n’ayant</w:t>
      </w:r>
      <w:r w:rsidR="00025BE6">
        <w:rPr>
          <w:bCs/>
          <w:sz w:val="20"/>
          <w:szCs w:val="20"/>
        </w:rPr>
        <w:t>,</w:t>
      </w:r>
      <w:r w:rsidR="000E7EDC" w:rsidRPr="000E7EDC">
        <w:rPr>
          <w:bCs/>
          <w:sz w:val="20"/>
          <w:szCs w:val="20"/>
        </w:rPr>
        <w:t xml:space="preserve"> </w:t>
      </w:r>
      <w:r w:rsidR="00025BE6" w:rsidRPr="000E7EDC">
        <w:rPr>
          <w:bCs/>
          <w:sz w:val="20"/>
          <w:szCs w:val="20"/>
        </w:rPr>
        <w:t>dans l’année</w:t>
      </w:r>
      <w:r w:rsidR="00025BE6">
        <w:rPr>
          <w:bCs/>
          <w:sz w:val="20"/>
          <w:szCs w:val="20"/>
        </w:rPr>
        <w:t>,</w:t>
      </w:r>
      <w:r w:rsidR="00025BE6" w:rsidRPr="000E7EDC">
        <w:rPr>
          <w:bCs/>
          <w:sz w:val="20"/>
          <w:szCs w:val="20"/>
        </w:rPr>
        <w:t xml:space="preserve"> </w:t>
      </w:r>
      <w:r w:rsidR="000E7EDC" w:rsidRPr="000E7EDC">
        <w:rPr>
          <w:bCs/>
          <w:sz w:val="20"/>
          <w:szCs w:val="20"/>
        </w:rPr>
        <w:t>ni d’augmentation liée à l’attribution d’un ou plusieurs NR ou d’un échelon d’ancienneté, ne peut compter que sur les 0,3% d’augmentation du SNB…ceci combiné à l’augmentation de la cotisation retraite de 0,1 point indique clairement une perte de pouvoir d’achat.</w:t>
      </w:r>
      <w:r w:rsidR="00025BE6">
        <w:rPr>
          <w:bCs/>
          <w:sz w:val="20"/>
          <w:szCs w:val="20"/>
        </w:rPr>
        <w:t xml:space="preserve"> </w:t>
      </w:r>
      <w:r w:rsidR="00E25BEB">
        <w:rPr>
          <w:bCs/>
          <w:sz w:val="20"/>
          <w:szCs w:val="20"/>
        </w:rPr>
        <w:t xml:space="preserve">Pourtant de l’argent il y en a. </w:t>
      </w:r>
      <w:r w:rsidR="00025BE6">
        <w:rPr>
          <w:bCs/>
          <w:sz w:val="20"/>
          <w:szCs w:val="20"/>
        </w:rPr>
        <w:t>Vous pouvez juger par vous-même des excellents résultats du groupe annoncé dans la plaquette de la Direction adressée aux actionnaires</w:t>
      </w:r>
      <w:r w:rsidR="00E25BEB">
        <w:rPr>
          <w:bCs/>
          <w:sz w:val="20"/>
          <w:szCs w:val="20"/>
        </w:rPr>
        <w:t>.</w:t>
      </w:r>
    </w:p>
    <w:p w:rsidR="00111CE6" w:rsidRDefault="002A3ECD" w:rsidP="0003693A">
      <w:pPr>
        <w:tabs>
          <w:tab w:val="left" w:pos="993"/>
        </w:tabs>
        <w:spacing w:after="120"/>
        <w:jc w:val="both"/>
        <w:rPr>
          <w:bCs/>
          <w:sz w:val="20"/>
          <w:szCs w:val="20"/>
        </w:rPr>
      </w:pPr>
      <w:r w:rsidRPr="00517EB1">
        <w:rPr>
          <w:bCs/>
          <w:sz w:val="20"/>
          <w:szCs w:val="20"/>
        </w:rPr>
        <w:t>Nous avons vérifié les taux de double NR dans les autres collèges :</w:t>
      </w:r>
      <w:r w:rsidR="0003693A">
        <w:rPr>
          <w:bCs/>
          <w:sz w:val="20"/>
          <w:szCs w:val="20"/>
        </w:rPr>
        <w:t xml:space="preserve"> </w:t>
      </w:r>
      <w:r w:rsidR="00517EB1">
        <w:rPr>
          <w:bCs/>
          <w:sz w:val="20"/>
          <w:szCs w:val="20"/>
        </w:rPr>
        <w:t>C</w:t>
      </w:r>
      <w:r w:rsidR="00111CE6" w:rsidRPr="00111CE6">
        <w:rPr>
          <w:bCs/>
          <w:sz w:val="20"/>
          <w:szCs w:val="20"/>
        </w:rPr>
        <w:t xml:space="preserve">adres non chercheur 20%, </w:t>
      </w:r>
      <w:r w:rsidRPr="00111CE6">
        <w:rPr>
          <w:bCs/>
          <w:sz w:val="20"/>
          <w:szCs w:val="20"/>
        </w:rPr>
        <w:t xml:space="preserve">chercheurs  </w:t>
      </w:r>
      <w:r w:rsidR="00111CE6" w:rsidRPr="00111CE6">
        <w:rPr>
          <w:bCs/>
          <w:sz w:val="20"/>
          <w:szCs w:val="20"/>
        </w:rPr>
        <w:t xml:space="preserve">29% </w:t>
      </w:r>
    </w:p>
    <w:p w:rsidR="003A675E" w:rsidRPr="003A675E" w:rsidRDefault="00111CE6" w:rsidP="003A675E">
      <w:pPr>
        <w:tabs>
          <w:tab w:val="left" w:pos="993"/>
        </w:tabs>
        <w:spacing w:after="120"/>
        <w:jc w:val="both"/>
        <w:rPr>
          <w:rFonts w:ascii="Calibri" w:eastAsia="Calibri" w:hAnsi="Calibri"/>
          <w:bCs/>
          <w:sz w:val="20"/>
          <w:szCs w:val="20"/>
          <w:lang w:eastAsia="en-US"/>
        </w:rPr>
      </w:pPr>
      <w:r w:rsidRPr="003A675E">
        <w:rPr>
          <w:bCs/>
          <w:sz w:val="20"/>
          <w:szCs w:val="20"/>
        </w:rPr>
        <w:t>Taux d’avancements par collèges</w:t>
      </w:r>
      <w:r w:rsidR="0003693A" w:rsidRPr="003A675E">
        <w:rPr>
          <w:bCs/>
          <w:sz w:val="20"/>
          <w:szCs w:val="20"/>
        </w:rPr>
        <w:t> </w:t>
      </w:r>
      <w:r w:rsidR="007724FD" w:rsidRPr="007724FD">
        <w:rPr>
          <w:sz w:val="20"/>
          <w:szCs w:val="20"/>
        </w:rPr>
        <w:t xml:space="preserve">(nbre de NR/effectifs total dans ce collège) </w:t>
      </w:r>
      <w:r w:rsidR="0003693A" w:rsidRPr="003A675E">
        <w:rPr>
          <w:bCs/>
          <w:sz w:val="20"/>
          <w:szCs w:val="20"/>
        </w:rPr>
        <w:t>:</w:t>
      </w:r>
    </w:p>
    <w:p w:rsidR="002A3ECD" w:rsidRPr="00F81DEC" w:rsidRDefault="00111CE6" w:rsidP="00F81DEC">
      <w:pPr>
        <w:tabs>
          <w:tab w:val="left" w:pos="993"/>
        </w:tabs>
        <w:spacing w:after="120"/>
        <w:rPr>
          <w:bCs/>
          <w:sz w:val="20"/>
          <w:szCs w:val="20"/>
        </w:rPr>
      </w:pPr>
      <w:r w:rsidRPr="00F81DEC">
        <w:rPr>
          <w:bCs/>
          <w:sz w:val="20"/>
          <w:szCs w:val="20"/>
        </w:rPr>
        <w:t>Exécution/Maitrise : </w:t>
      </w:r>
      <w:r w:rsidRPr="00F81DEC">
        <w:rPr>
          <w:b/>
          <w:bCs/>
          <w:sz w:val="20"/>
          <w:szCs w:val="20"/>
        </w:rPr>
        <w:t>39%</w:t>
      </w:r>
      <w:r w:rsidR="00F81DEC">
        <w:rPr>
          <w:b/>
          <w:bCs/>
          <w:sz w:val="20"/>
          <w:szCs w:val="20"/>
        </w:rPr>
        <w:t xml:space="preserve"> </w:t>
      </w:r>
      <w:r w:rsidRPr="00F81DEC">
        <w:rPr>
          <w:bCs/>
          <w:sz w:val="20"/>
          <w:szCs w:val="20"/>
        </w:rPr>
        <w:t>Cadres : </w:t>
      </w:r>
      <w:r w:rsidRPr="00F81DEC">
        <w:rPr>
          <w:b/>
          <w:bCs/>
          <w:sz w:val="20"/>
          <w:szCs w:val="20"/>
        </w:rPr>
        <w:t>57%</w:t>
      </w:r>
      <w:r w:rsidRPr="00F81DEC">
        <w:rPr>
          <w:bCs/>
          <w:sz w:val="20"/>
          <w:szCs w:val="20"/>
        </w:rPr>
        <w:t xml:space="preserve"> et </w:t>
      </w:r>
      <w:r w:rsidR="000B5155">
        <w:rPr>
          <w:bCs/>
          <w:sz w:val="20"/>
          <w:szCs w:val="20"/>
        </w:rPr>
        <w:t>ICH</w:t>
      </w:r>
      <w:r w:rsidRPr="00F81DEC">
        <w:rPr>
          <w:bCs/>
          <w:sz w:val="20"/>
          <w:szCs w:val="20"/>
        </w:rPr>
        <w:t> : </w:t>
      </w:r>
      <w:r w:rsidRPr="00F81DEC">
        <w:rPr>
          <w:b/>
          <w:bCs/>
          <w:sz w:val="20"/>
          <w:szCs w:val="20"/>
        </w:rPr>
        <w:t>77%</w:t>
      </w:r>
    </w:p>
    <w:p w:rsidR="007724FD" w:rsidRDefault="007724FD" w:rsidP="00C00396">
      <w:pPr>
        <w:spacing w:after="120"/>
        <w:jc w:val="both"/>
      </w:pPr>
    </w:p>
    <w:p w:rsidR="007724FD" w:rsidRDefault="007724FD" w:rsidP="00C00396">
      <w:pPr>
        <w:spacing w:after="120"/>
        <w:jc w:val="both"/>
      </w:pPr>
    </w:p>
    <w:p w:rsidR="00C00396" w:rsidRPr="00C00396" w:rsidRDefault="00C00396" w:rsidP="00C00396">
      <w:pPr>
        <w:spacing w:after="120"/>
        <w:jc w:val="both"/>
        <w:rPr>
          <w:b/>
          <w:bCs/>
          <w:sz w:val="20"/>
          <w:szCs w:val="20"/>
          <w:u w:val="single"/>
        </w:rPr>
      </w:pPr>
      <w:r w:rsidRPr="008A23BE">
        <w:sym w:font="Wingdings" w:char="F040"/>
      </w:r>
      <w:r w:rsidRPr="00C00396">
        <w:rPr>
          <w:b/>
          <w:bCs/>
          <w:sz w:val="20"/>
          <w:szCs w:val="20"/>
          <w:u w:val="single"/>
        </w:rPr>
        <w:t xml:space="preserve"> Remarque de la délégation CGT </w:t>
      </w:r>
    </w:p>
    <w:p w:rsidR="00C00396" w:rsidRDefault="00C00396" w:rsidP="0096680E">
      <w:pPr>
        <w:tabs>
          <w:tab w:val="left" w:pos="993"/>
        </w:tabs>
        <w:spacing w:after="120"/>
        <w:jc w:val="both"/>
        <w:rPr>
          <w:bCs/>
          <w:sz w:val="20"/>
          <w:szCs w:val="20"/>
        </w:rPr>
      </w:pPr>
      <w:r w:rsidRPr="0096680E">
        <w:rPr>
          <w:bCs/>
          <w:sz w:val="20"/>
          <w:szCs w:val="20"/>
        </w:rPr>
        <w:t xml:space="preserve">Un NR représente  environ 2,5% d’augmentation sur le salaire brut. Le % ne représente pas la même valeur </w:t>
      </w:r>
      <w:r w:rsidR="007868B8">
        <w:rPr>
          <w:bCs/>
          <w:sz w:val="20"/>
          <w:szCs w:val="20"/>
        </w:rPr>
        <w:t xml:space="preserve">en euros </w:t>
      </w:r>
      <w:r w:rsidRPr="0096680E">
        <w:rPr>
          <w:bCs/>
          <w:sz w:val="20"/>
          <w:szCs w:val="20"/>
        </w:rPr>
        <w:t>que l’on soit classé en bas ou en haut de la grille des salaires.</w:t>
      </w:r>
    </w:p>
    <w:p w:rsidR="009977BD" w:rsidRPr="0096680E" w:rsidRDefault="009977BD" w:rsidP="0096680E">
      <w:pPr>
        <w:tabs>
          <w:tab w:val="left" w:pos="993"/>
        </w:tabs>
        <w:spacing w:after="120"/>
        <w:jc w:val="both"/>
        <w:rPr>
          <w:bCs/>
          <w:sz w:val="20"/>
          <w:szCs w:val="20"/>
        </w:rPr>
      </w:pPr>
    </w:p>
    <w:p w:rsidR="00C00396" w:rsidRPr="0096680E" w:rsidRDefault="00C00396" w:rsidP="0096680E">
      <w:pPr>
        <w:tabs>
          <w:tab w:val="left" w:pos="993"/>
        </w:tabs>
        <w:spacing w:after="120"/>
        <w:jc w:val="both"/>
        <w:rPr>
          <w:b/>
          <w:bCs/>
          <w:sz w:val="20"/>
          <w:szCs w:val="20"/>
          <w:u w:val="single"/>
        </w:rPr>
      </w:pPr>
      <w:r w:rsidRPr="0096680E">
        <w:rPr>
          <w:b/>
          <w:bCs/>
          <w:sz w:val="20"/>
          <w:szCs w:val="20"/>
          <w:u w:val="single"/>
        </w:rPr>
        <w:t>Exemples choisis </w:t>
      </w:r>
      <w:r w:rsidR="007D52FF" w:rsidRPr="0096680E">
        <w:rPr>
          <w:b/>
          <w:bCs/>
          <w:sz w:val="20"/>
          <w:szCs w:val="20"/>
          <w:u w:val="single"/>
        </w:rPr>
        <w:t xml:space="preserve">en échelon 7 (ancienneté &gt; 13 ans) </w:t>
      </w:r>
      <w:r w:rsidRPr="0096680E">
        <w:rPr>
          <w:b/>
          <w:bCs/>
          <w:sz w:val="20"/>
          <w:szCs w:val="20"/>
          <w:u w:val="single"/>
        </w:rPr>
        <w:t>:</w:t>
      </w:r>
    </w:p>
    <w:p w:rsidR="002A3ECD" w:rsidRPr="0096680E" w:rsidRDefault="00BC632A" w:rsidP="007D52FF">
      <w:pPr>
        <w:pStyle w:val="Paragraphedeliste"/>
        <w:numPr>
          <w:ilvl w:val="0"/>
          <w:numId w:val="5"/>
        </w:numPr>
        <w:tabs>
          <w:tab w:val="left" w:pos="993"/>
        </w:tabs>
        <w:spacing w:after="120"/>
        <w:jc w:val="both"/>
        <w:rPr>
          <w:b/>
          <w:bCs/>
          <w:sz w:val="20"/>
          <w:szCs w:val="20"/>
        </w:rPr>
      </w:pPr>
      <w:r w:rsidRPr="0096680E">
        <w:rPr>
          <w:b/>
          <w:bCs/>
          <w:sz w:val="20"/>
          <w:szCs w:val="20"/>
        </w:rPr>
        <w:t xml:space="preserve">De NR </w:t>
      </w:r>
      <w:r w:rsidR="007D52FF" w:rsidRPr="0096680E">
        <w:rPr>
          <w:b/>
          <w:bCs/>
          <w:sz w:val="20"/>
          <w:szCs w:val="20"/>
        </w:rPr>
        <w:t>70</w:t>
      </w:r>
      <w:r w:rsidRPr="0096680E">
        <w:rPr>
          <w:b/>
          <w:bCs/>
          <w:sz w:val="20"/>
          <w:szCs w:val="20"/>
        </w:rPr>
        <w:t xml:space="preserve"> à </w:t>
      </w:r>
      <w:r w:rsidR="002A3ECD" w:rsidRPr="0096680E">
        <w:rPr>
          <w:b/>
          <w:bCs/>
          <w:sz w:val="20"/>
          <w:szCs w:val="20"/>
        </w:rPr>
        <w:t>NR 7</w:t>
      </w:r>
      <w:r w:rsidR="007D52FF" w:rsidRPr="0096680E">
        <w:rPr>
          <w:b/>
          <w:bCs/>
          <w:sz w:val="20"/>
          <w:szCs w:val="20"/>
        </w:rPr>
        <w:t>5</w:t>
      </w:r>
      <w:r w:rsidRPr="0096680E">
        <w:rPr>
          <w:b/>
          <w:bCs/>
          <w:sz w:val="20"/>
          <w:szCs w:val="20"/>
        </w:rPr>
        <w:t xml:space="preserve"> = </w:t>
      </w:r>
      <w:r w:rsidR="007D52FF" w:rsidRPr="0096680E">
        <w:rPr>
          <w:b/>
          <w:bCs/>
          <w:sz w:val="20"/>
          <w:szCs w:val="20"/>
        </w:rPr>
        <w:t>35</w:t>
      </w:r>
      <w:r w:rsidRPr="0096680E">
        <w:rPr>
          <w:b/>
          <w:bCs/>
          <w:sz w:val="20"/>
          <w:szCs w:val="20"/>
        </w:rPr>
        <w:t>€ brut/mois</w:t>
      </w:r>
    </w:p>
    <w:p w:rsidR="00A91917" w:rsidRPr="0096680E" w:rsidRDefault="00BC632A" w:rsidP="0096680E">
      <w:pPr>
        <w:pStyle w:val="Paragraphedeliste"/>
        <w:numPr>
          <w:ilvl w:val="0"/>
          <w:numId w:val="5"/>
        </w:numPr>
        <w:tabs>
          <w:tab w:val="left" w:pos="993"/>
        </w:tabs>
        <w:spacing w:after="120"/>
        <w:jc w:val="both"/>
        <w:rPr>
          <w:b/>
          <w:bCs/>
          <w:sz w:val="20"/>
          <w:szCs w:val="20"/>
        </w:rPr>
      </w:pPr>
      <w:r w:rsidRPr="0096680E">
        <w:rPr>
          <w:b/>
          <w:bCs/>
          <w:sz w:val="20"/>
          <w:szCs w:val="20"/>
        </w:rPr>
        <w:t xml:space="preserve">De NR 305 à NR 310 = </w:t>
      </w:r>
      <w:r w:rsidR="007D52FF" w:rsidRPr="0096680E">
        <w:rPr>
          <w:b/>
          <w:bCs/>
          <w:sz w:val="20"/>
          <w:szCs w:val="20"/>
        </w:rPr>
        <w:t>132</w:t>
      </w:r>
      <w:r w:rsidRPr="0096680E">
        <w:rPr>
          <w:b/>
          <w:bCs/>
          <w:sz w:val="20"/>
          <w:szCs w:val="20"/>
        </w:rPr>
        <w:t>€ brut/mois</w:t>
      </w:r>
    </w:p>
    <w:p w:rsidR="00A91917" w:rsidRPr="00DB15EC" w:rsidRDefault="00DB15EC" w:rsidP="00DB15EC">
      <w:pPr>
        <w:tabs>
          <w:tab w:val="left" w:pos="993"/>
        </w:tabs>
        <w:spacing w:after="120"/>
        <w:jc w:val="both"/>
        <w:rPr>
          <w:bCs/>
          <w:sz w:val="20"/>
          <w:szCs w:val="20"/>
        </w:rPr>
      </w:pPr>
      <w:r>
        <w:rPr>
          <w:bCs/>
          <w:sz w:val="20"/>
          <w:szCs w:val="20"/>
        </w:rPr>
        <w:t>De plus n</w:t>
      </w:r>
      <w:r w:rsidR="00A91917" w:rsidRPr="00DB15EC">
        <w:rPr>
          <w:bCs/>
          <w:sz w:val="20"/>
          <w:szCs w:val="20"/>
        </w:rPr>
        <w:t>ous constatons depuis plusieurs années, une très bonne attribution d’</w:t>
      </w:r>
      <w:r w:rsidR="00D00F32" w:rsidRPr="00DB15EC">
        <w:rPr>
          <w:bCs/>
          <w:sz w:val="20"/>
          <w:szCs w:val="20"/>
        </w:rPr>
        <w:t>avancements pour</w:t>
      </w:r>
      <w:r w:rsidR="00A91917" w:rsidRPr="00DB15EC">
        <w:rPr>
          <w:bCs/>
          <w:sz w:val="20"/>
          <w:szCs w:val="20"/>
        </w:rPr>
        <w:t xml:space="preserve"> nos managers, avec une fréquence d’au moins 1 NR tous les ans.</w:t>
      </w:r>
    </w:p>
    <w:p w:rsidR="00A60316" w:rsidRPr="009B1DB3" w:rsidRDefault="009B1DB3" w:rsidP="009B1DB3">
      <w:pPr>
        <w:tabs>
          <w:tab w:val="left" w:pos="993"/>
        </w:tabs>
        <w:spacing w:after="120"/>
        <w:jc w:val="both"/>
        <w:rPr>
          <w:b/>
          <w:bCs/>
          <w:sz w:val="20"/>
          <w:szCs w:val="20"/>
          <w:u w:val="single"/>
        </w:rPr>
      </w:pPr>
      <w:r>
        <w:rPr>
          <w:noProof/>
        </w:rPr>
        <w:drawing>
          <wp:inline distT="0" distB="0" distL="0" distR="0">
            <wp:extent cx="2989070" cy="2689861"/>
            <wp:effectExtent l="19050" t="0" r="1780" b="0"/>
            <wp:docPr id="6" name="Image 3" descr="seriesLongues-fr bitmap.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iesLongues-fr bitmap.bmp"/>
                    <pic:cNvPicPr/>
                  </pic:nvPicPr>
                  <pic:blipFill>
                    <a:blip r:embed="rId14" cstate="print"/>
                    <a:stretch>
                      <a:fillRect/>
                    </a:stretch>
                  </pic:blipFill>
                  <pic:spPr>
                    <a:xfrm>
                      <a:off x="0" y="0"/>
                      <a:ext cx="2992428" cy="2692883"/>
                    </a:xfrm>
                    <a:prstGeom prst="rect">
                      <a:avLst/>
                    </a:prstGeom>
                  </pic:spPr>
                </pic:pic>
              </a:graphicData>
            </a:graphic>
          </wp:inline>
        </w:drawing>
      </w:r>
    </w:p>
    <w:p w:rsidR="002B0C4A" w:rsidRPr="009B1DB3" w:rsidRDefault="009B1DB3" w:rsidP="002B0C4A">
      <w:pPr>
        <w:rPr>
          <w:sz w:val="18"/>
          <w:szCs w:val="18"/>
        </w:rPr>
      </w:pPr>
      <w:r w:rsidRPr="009B1DB3">
        <w:rPr>
          <w:sz w:val="18"/>
          <w:szCs w:val="18"/>
        </w:rPr>
        <w:t>Cette source ne reflète pas la réalité de l’augmentation des prix.</w:t>
      </w:r>
    </w:p>
    <w:p w:rsidR="009B1DB3" w:rsidRDefault="009B1DB3" w:rsidP="0036412A">
      <w:pPr>
        <w:jc w:val="both"/>
        <w:rPr>
          <w:sz w:val="20"/>
          <w:szCs w:val="20"/>
        </w:rPr>
      </w:pPr>
    </w:p>
    <w:p w:rsidR="002B0C4A" w:rsidRDefault="00656830" w:rsidP="0036412A">
      <w:pPr>
        <w:jc w:val="both"/>
        <w:rPr>
          <w:sz w:val="20"/>
          <w:szCs w:val="20"/>
        </w:rPr>
      </w:pPr>
      <w:r>
        <w:rPr>
          <w:sz w:val="20"/>
          <w:szCs w:val="20"/>
        </w:rPr>
        <w:t>Année</w:t>
      </w:r>
      <w:r w:rsidR="001D69C4" w:rsidRPr="001D69C4">
        <w:rPr>
          <w:sz w:val="20"/>
          <w:szCs w:val="20"/>
        </w:rPr>
        <w:t xml:space="preserve"> </w:t>
      </w:r>
      <w:r>
        <w:rPr>
          <w:sz w:val="20"/>
          <w:szCs w:val="20"/>
        </w:rPr>
        <w:t xml:space="preserve">de </w:t>
      </w:r>
      <w:r w:rsidR="001D69C4" w:rsidRPr="001D69C4">
        <w:rPr>
          <w:sz w:val="20"/>
          <w:szCs w:val="20"/>
        </w:rPr>
        <w:t>mise en place d</w:t>
      </w:r>
      <w:r w:rsidR="001D69C4">
        <w:rPr>
          <w:sz w:val="20"/>
          <w:szCs w:val="20"/>
        </w:rPr>
        <w:t>u Nouveau Système de Rémunération (NSR = NR divisés par deux soit 5% / 2 = 2,5%)</w:t>
      </w:r>
      <w:r w:rsidR="00BD5405">
        <w:rPr>
          <w:sz w:val="20"/>
          <w:szCs w:val="20"/>
        </w:rPr>
        <w:t xml:space="preserve"> : </w:t>
      </w:r>
      <w:r>
        <w:rPr>
          <w:sz w:val="20"/>
          <w:szCs w:val="20"/>
        </w:rPr>
        <w:t>2006</w:t>
      </w:r>
    </w:p>
    <w:p w:rsidR="00134693" w:rsidRDefault="00134693" w:rsidP="002B0C4A">
      <w:pPr>
        <w:rPr>
          <w:sz w:val="20"/>
          <w:szCs w:val="20"/>
        </w:rPr>
      </w:pPr>
    </w:p>
    <w:p w:rsidR="00EC6D2E" w:rsidRDefault="00A97100" w:rsidP="002B0C4A">
      <w:pPr>
        <w:rPr>
          <w:sz w:val="28"/>
          <w:szCs w:val="28"/>
        </w:rPr>
      </w:pPr>
      <w:r>
        <w:rPr>
          <w:noProof/>
          <w:sz w:val="28"/>
          <w:szCs w:val="28"/>
        </w:rPr>
        <mc:AlternateContent>
          <mc:Choice Requires="wps">
            <w:drawing>
              <wp:anchor distT="0" distB="0" distL="114300" distR="114300" simplePos="0" relativeHeight="251662336" behindDoc="0" locked="0" layoutInCell="1" allowOverlap="1">
                <wp:simplePos x="0" y="0"/>
                <wp:positionH relativeFrom="column">
                  <wp:posOffset>35560</wp:posOffset>
                </wp:positionH>
                <wp:positionV relativeFrom="paragraph">
                  <wp:posOffset>21590</wp:posOffset>
                </wp:positionV>
                <wp:extent cx="3399790" cy="2430780"/>
                <wp:effectExtent l="6985" t="7620" r="12700" b="9525"/>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9790" cy="2430780"/>
                        </a:xfrm>
                        <a:prstGeom prst="rect">
                          <a:avLst/>
                        </a:prstGeom>
                        <a:solidFill>
                          <a:srgbClr val="FFFFFF"/>
                        </a:solidFill>
                        <a:ln w="9525">
                          <a:solidFill>
                            <a:srgbClr val="000000"/>
                          </a:solidFill>
                          <a:miter lim="800000"/>
                          <a:headEnd/>
                          <a:tailEnd/>
                        </a:ln>
                      </wps:spPr>
                      <wps:txbx>
                        <w:txbxContent>
                          <w:p w:rsidR="00EC6D2E" w:rsidRDefault="00EC6D2E" w:rsidP="00EC6D2E">
                            <w:pPr>
                              <w:rPr>
                                <w:rStyle w:val="lev"/>
                                <w:rFonts w:ascii="Arial" w:hAnsi="Arial" w:cs="Arial"/>
                                <w:color w:val="333333"/>
                                <w:sz w:val="20"/>
                                <w:szCs w:val="20"/>
                              </w:rPr>
                            </w:pPr>
                            <w:r>
                              <w:rPr>
                                <w:rStyle w:val="lev"/>
                                <w:rFonts w:ascii="Arial" w:hAnsi="Arial" w:cs="Arial"/>
                                <w:color w:val="333333"/>
                                <w:sz w:val="20"/>
                                <w:szCs w:val="20"/>
                              </w:rPr>
                              <w:t>Définition du mot EBITDA :</w:t>
                            </w:r>
                          </w:p>
                          <w:p w:rsidR="00EC6D2E" w:rsidRDefault="00EC6D2E" w:rsidP="00EC6D2E">
                            <w:pPr>
                              <w:rPr>
                                <w:rFonts w:ascii="Arial" w:hAnsi="Arial" w:cs="Arial"/>
                                <w:color w:val="333333"/>
                                <w:sz w:val="20"/>
                                <w:szCs w:val="20"/>
                              </w:rPr>
                            </w:pPr>
                            <w:r>
                              <w:rPr>
                                <w:rFonts w:ascii="Arial" w:hAnsi="Arial" w:cs="Arial"/>
                                <w:color w:val="333333"/>
                                <w:sz w:val="20"/>
                                <w:szCs w:val="20"/>
                              </w:rPr>
                              <w:br/>
                              <w:t>Sigle anglais pour Earnings Before Interest, Taxes, Depreciation, and Amortization, l'EBITDA désigne communément les revenus d'une entreprise avant soustraction des intérêts, impôts, dotations aux amortissements et provisions sur immobilisations.</w:t>
                            </w:r>
                          </w:p>
                          <w:p w:rsidR="00EC6D2E" w:rsidRPr="00054A95" w:rsidRDefault="00EC6D2E" w:rsidP="00EC6D2E">
                            <w:pPr>
                              <w:rPr>
                                <w:rFonts w:ascii="Arial" w:hAnsi="Arial" w:cs="Arial"/>
                                <w:b/>
                                <w:bCs/>
                                <w:color w:val="333333"/>
                                <w:sz w:val="20"/>
                                <w:szCs w:val="20"/>
                              </w:rPr>
                            </w:pPr>
                          </w:p>
                          <w:p w:rsidR="00EC6D2E" w:rsidRPr="00054A95" w:rsidRDefault="00EC6D2E" w:rsidP="007724FD">
                            <w:pPr>
                              <w:rPr>
                                <w:bCs/>
                                <w:sz w:val="28"/>
                                <w:szCs w:val="28"/>
                                <w:vertAlign w:val="superscript"/>
                              </w:rPr>
                            </w:pPr>
                            <w:r>
                              <w:rPr>
                                <w:rStyle w:val="lev"/>
                                <w:rFonts w:ascii="Arial" w:hAnsi="Arial" w:cs="Arial"/>
                                <w:color w:val="333333"/>
                                <w:sz w:val="20"/>
                                <w:szCs w:val="20"/>
                              </w:rPr>
                              <w:t>EBITDA : le calcul</w:t>
                            </w:r>
                            <w:r>
                              <w:rPr>
                                <w:rFonts w:ascii="Arial" w:hAnsi="Arial" w:cs="Arial"/>
                                <w:color w:val="333333"/>
                                <w:sz w:val="20"/>
                                <w:szCs w:val="20"/>
                              </w:rPr>
                              <w:br/>
                              <w:t>Il existe deux méthodes de calcul de l'EBITDA :</w:t>
                            </w:r>
                            <w:r>
                              <w:rPr>
                                <w:rFonts w:ascii="Arial" w:hAnsi="Arial" w:cs="Arial"/>
                                <w:color w:val="333333"/>
                                <w:sz w:val="20"/>
                                <w:szCs w:val="20"/>
                              </w:rPr>
                              <w:br/>
                              <w:t xml:space="preserve">EBITDA = Chiffre d'affaires </w:t>
                            </w:r>
                            <w:r w:rsidR="00EE05DA">
                              <w:rPr>
                                <w:rFonts w:ascii="Arial" w:hAnsi="Arial" w:cs="Arial"/>
                                <w:color w:val="333333"/>
                                <w:sz w:val="20"/>
                                <w:szCs w:val="20"/>
                              </w:rPr>
                              <w:t xml:space="preserve"> </w:t>
                            </w:r>
                            <w:r>
                              <w:rPr>
                                <w:rFonts w:ascii="Arial" w:hAnsi="Arial" w:cs="Arial"/>
                                <w:color w:val="333333"/>
                                <w:sz w:val="20"/>
                                <w:szCs w:val="20"/>
                              </w:rPr>
                              <w:t>Achats</w:t>
                            </w:r>
                            <w:r w:rsidR="00EE05DA">
                              <w:rPr>
                                <w:rFonts w:ascii="Arial" w:hAnsi="Arial" w:cs="Arial"/>
                                <w:color w:val="333333"/>
                                <w:sz w:val="20"/>
                                <w:szCs w:val="20"/>
                              </w:rPr>
                              <w:t xml:space="preserve"> -</w:t>
                            </w:r>
                            <w:r>
                              <w:rPr>
                                <w:rFonts w:ascii="Arial" w:hAnsi="Arial" w:cs="Arial"/>
                                <w:color w:val="333333"/>
                                <w:sz w:val="20"/>
                                <w:szCs w:val="20"/>
                              </w:rPr>
                              <w:t xml:space="preserve"> Charges externes </w:t>
                            </w:r>
                            <w:r w:rsidR="00EE05DA">
                              <w:rPr>
                                <w:rFonts w:ascii="Arial" w:hAnsi="Arial" w:cs="Arial"/>
                                <w:color w:val="333333"/>
                                <w:sz w:val="20"/>
                                <w:szCs w:val="20"/>
                              </w:rPr>
                              <w:t>-</w:t>
                            </w:r>
                            <w:r>
                              <w:rPr>
                                <w:rFonts w:ascii="Arial" w:hAnsi="Arial" w:cs="Arial"/>
                                <w:color w:val="333333"/>
                                <w:sz w:val="20"/>
                                <w:szCs w:val="20"/>
                              </w:rPr>
                              <w:t xml:space="preserve"> Charges de personnel</w:t>
                            </w:r>
                            <w:r>
                              <w:rPr>
                                <w:rFonts w:ascii="Arial" w:hAnsi="Arial" w:cs="Arial"/>
                                <w:color w:val="333333"/>
                                <w:sz w:val="20"/>
                                <w:szCs w:val="20"/>
                              </w:rPr>
                              <w:br/>
                              <w:t>EBITDA = Résultat net + Charges d'intérêts + Charges d'impôts + Amortissements et provisions</w:t>
                            </w:r>
                            <w:r>
                              <w:rPr>
                                <w:rFonts w:ascii="Arial" w:hAnsi="Arial" w:cs="Arial"/>
                                <w:color w:val="333333"/>
                                <w:sz w:val="20"/>
                                <w:szCs w:val="20"/>
                              </w:rPr>
                              <w:br/>
                            </w:r>
                            <w:r w:rsidRPr="00054A95">
                              <w:rPr>
                                <w:bCs/>
                                <w:sz w:val="28"/>
                                <w:szCs w:val="28"/>
                                <w:vertAlign w:val="superscript"/>
                              </w:rPr>
                              <w:t>Source : http://www.journaldunet.com/</w:t>
                            </w:r>
                          </w:p>
                          <w:p w:rsidR="00EC6D2E" w:rsidRDefault="00EC6D2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Zone de texte 2" o:spid="_x0000_s1028" type="#_x0000_t202" style="position:absolute;margin-left:2.8pt;margin-top:1.7pt;width:267.7pt;height:19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">
                <v:textbox>
                  <w:txbxContent>
                    <w:p w:rsidR="00EC6D2E" w:rsidRDefault="00EC6D2E" w:rsidP="00EC6D2E">
                      <w:pPr>
                        <w:rPr>
                          <w:rStyle w:val="lev"/>
                          <w:rFonts w:ascii="Arial" w:hAnsi="Arial" w:cs="Arial"/>
                          <w:color w:val="333333"/>
                          <w:sz w:val="20"/>
                          <w:szCs w:val="20"/>
                        </w:rPr>
                      </w:pPr>
                      <w:r>
                        <w:rPr>
                          <w:rStyle w:val="lev"/>
                          <w:rFonts w:ascii="Arial" w:hAnsi="Arial" w:cs="Arial"/>
                          <w:color w:val="333333"/>
                          <w:sz w:val="20"/>
                          <w:szCs w:val="20"/>
                        </w:rPr>
                        <w:t>Définition du mot EBITDA :</w:t>
                      </w:r>
                    </w:p>
                    <w:p w:rsidR="00EC6D2E" w:rsidRDefault="00EC6D2E" w:rsidP="00EC6D2E">
                      <w:pPr>
                        <w:rPr>
                          <w:rFonts w:ascii="Arial" w:hAnsi="Arial" w:cs="Arial"/>
                          <w:color w:val="333333"/>
                          <w:sz w:val="20"/>
                          <w:szCs w:val="20"/>
                        </w:rPr>
                      </w:pPr>
                      <w:r>
                        <w:rPr>
                          <w:rFonts w:ascii="Arial" w:hAnsi="Arial" w:cs="Arial"/>
                          <w:color w:val="333333"/>
                          <w:sz w:val="20"/>
                          <w:szCs w:val="20"/>
                        </w:rPr>
                        <w:br/>
                        <w:t>Sigle anglais pour Earnings Before Interest, Taxes, Depreciation, and Amortization, l'EBITDA désigne communément les revenus d'une entreprise avant soustraction des intérêts, impôts, dotations aux amortissements et provisions sur immobilisations.</w:t>
                      </w:r>
                    </w:p>
                    <w:p w:rsidR="00EC6D2E" w:rsidRPr="00054A95" w:rsidRDefault="00EC6D2E" w:rsidP="00EC6D2E">
                      <w:pPr>
                        <w:rPr>
                          <w:rFonts w:ascii="Arial" w:hAnsi="Arial" w:cs="Arial"/>
                          <w:b/>
                          <w:bCs/>
                          <w:color w:val="333333"/>
                          <w:sz w:val="20"/>
                          <w:szCs w:val="20"/>
                        </w:rPr>
                      </w:pPr>
                    </w:p>
                    <w:p w:rsidR="00EC6D2E" w:rsidRPr="00054A95" w:rsidRDefault="00EC6D2E" w:rsidP="007724FD">
                      <w:pPr>
                        <w:rPr>
                          <w:bCs/>
                          <w:sz w:val="28"/>
                          <w:szCs w:val="28"/>
                          <w:vertAlign w:val="superscript"/>
                        </w:rPr>
                      </w:pPr>
                      <w:r>
                        <w:rPr>
                          <w:rStyle w:val="lev"/>
                          <w:rFonts w:ascii="Arial" w:hAnsi="Arial" w:cs="Arial"/>
                          <w:color w:val="333333"/>
                          <w:sz w:val="20"/>
                          <w:szCs w:val="20"/>
                        </w:rPr>
                        <w:t>EBITDA : le calcul</w:t>
                      </w:r>
                      <w:r>
                        <w:rPr>
                          <w:rFonts w:ascii="Arial" w:hAnsi="Arial" w:cs="Arial"/>
                          <w:color w:val="333333"/>
                          <w:sz w:val="20"/>
                          <w:szCs w:val="20"/>
                        </w:rPr>
                        <w:br/>
                        <w:t>Il existe deux méthodes de calcul de l'EBITDA :</w:t>
                      </w:r>
                      <w:r>
                        <w:rPr>
                          <w:rFonts w:ascii="Arial" w:hAnsi="Arial" w:cs="Arial"/>
                          <w:color w:val="333333"/>
                          <w:sz w:val="20"/>
                          <w:szCs w:val="20"/>
                        </w:rPr>
                        <w:br/>
                        <w:t xml:space="preserve">EBITDA = Chiffre d'affaires </w:t>
                      </w:r>
                      <w:r w:rsidR="00EE05DA">
                        <w:rPr>
                          <w:rFonts w:ascii="Arial" w:hAnsi="Arial" w:cs="Arial"/>
                          <w:color w:val="333333"/>
                          <w:sz w:val="20"/>
                          <w:szCs w:val="20"/>
                        </w:rPr>
                        <w:t xml:space="preserve"> </w:t>
                      </w:r>
                      <w:r>
                        <w:rPr>
                          <w:rFonts w:ascii="Arial" w:hAnsi="Arial" w:cs="Arial"/>
                          <w:color w:val="333333"/>
                          <w:sz w:val="20"/>
                          <w:szCs w:val="20"/>
                        </w:rPr>
                        <w:t>Achats</w:t>
                      </w:r>
                      <w:r w:rsidR="00EE05DA">
                        <w:rPr>
                          <w:rFonts w:ascii="Arial" w:hAnsi="Arial" w:cs="Arial"/>
                          <w:color w:val="333333"/>
                          <w:sz w:val="20"/>
                          <w:szCs w:val="20"/>
                        </w:rPr>
                        <w:t xml:space="preserve"> -</w:t>
                      </w:r>
                      <w:r>
                        <w:rPr>
                          <w:rFonts w:ascii="Arial" w:hAnsi="Arial" w:cs="Arial"/>
                          <w:color w:val="333333"/>
                          <w:sz w:val="20"/>
                          <w:szCs w:val="20"/>
                        </w:rPr>
                        <w:t xml:space="preserve"> Charges externes </w:t>
                      </w:r>
                      <w:r w:rsidR="00EE05DA">
                        <w:rPr>
                          <w:rFonts w:ascii="Arial" w:hAnsi="Arial" w:cs="Arial"/>
                          <w:color w:val="333333"/>
                          <w:sz w:val="20"/>
                          <w:szCs w:val="20"/>
                        </w:rPr>
                        <w:t>-</w:t>
                      </w:r>
                      <w:r>
                        <w:rPr>
                          <w:rFonts w:ascii="Arial" w:hAnsi="Arial" w:cs="Arial"/>
                          <w:color w:val="333333"/>
                          <w:sz w:val="20"/>
                          <w:szCs w:val="20"/>
                        </w:rPr>
                        <w:t xml:space="preserve"> Charges de personnel</w:t>
                      </w:r>
                      <w:r>
                        <w:rPr>
                          <w:rFonts w:ascii="Arial" w:hAnsi="Arial" w:cs="Arial"/>
                          <w:color w:val="333333"/>
                          <w:sz w:val="20"/>
                          <w:szCs w:val="20"/>
                        </w:rPr>
                        <w:br/>
                        <w:t>EBITDA = Résultat net + Charges d'intérêts + Charges d'impôts + Amortissements et provisions</w:t>
                      </w:r>
                      <w:r>
                        <w:rPr>
                          <w:rFonts w:ascii="Arial" w:hAnsi="Arial" w:cs="Arial"/>
                          <w:color w:val="333333"/>
                          <w:sz w:val="20"/>
                          <w:szCs w:val="20"/>
                        </w:rPr>
                        <w:br/>
                      </w:r>
                      <w:r w:rsidRPr="00054A95">
                        <w:rPr>
                          <w:bCs/>
                          <w:sz w:val="28"/>
                          <w:szCs w:val="28"/>
                          <w:vertAlign w:val="superscript"/>
                        </w:rPr>
                        <w:t>Source : http://www.journaldunet.com/</w:t>
                      </w:r>
                    </w:p>
                    <w:p w:rsidR="00EC6D2E" w:rsidRDefault="00EC6D2E"/>
                  </w:txbxContent>
                </v:textbox>
              </v:shape>
            </w:pict>
          </mc:Fallback>
        </mc:AlternateContent>
      </w:r>
    </w:p>
    <w:p w:rsidR="00950AC0" w:rsidRPr="00950AC0" w:rsidRDefault="00950AC0" w:rsidP="002B0C4A">
      <w:pPr>
        <w:rPr>
          <w:sz w:val="20"/>
          <w:szCs w:val="20"/>
        </w:rPr>
      </w:pPr>
    </w:p>
    <w:p w:rsidR="00950AC0" w:rsidRDefault="00950AC0" w:rsidP="002B0C4A">
      <w:pPr>
        <w:rPr>
          <w:sz w:val="28"/>
          <w:szCs w:val="28"/>
        </w:rPr>
      </w:pPr>
    </w:p>
    <w:p w:rsidR="002B0C4A" w:rsidRDefault="002B0C4A" w:rsidP="002B0C4A">
      <w:pPr>
        <w:rPr>
          <w:sz w:val="28"/>
          <w:szCs w:val="28"/>
        </w:rPr>
      </w:pPr>
    </w:p>
    <w:p w:rsidR="004135C4" w:rsidRDefault="00950AC0" w:rsidP="002B0C4A">
      <w:pPr>
        <w:rPr>
          <w:sz w:val="16"/>
          <w:szCs w:val="16"/>
        </w:rPr>
      </w:pPr>
      <w:r>
        <w:rPr>
          <w:noProof/>
          <w:sz w:val="28"/>
          <w:szCs w:val="28"/>
        </w:rPr>
        <w:lastRenderedPageBreak/>
        <w:drawing>
          <wp:inline distT="0" distB="0" distL="0" distR="0">
            <wp:extent cx="2304288" cy="7693152"/>
            <wp:effectExtent l="19050" t="0" r="762" b="0"/>
            <wp:docPr id="5" name="Image 4" descr="PUB DIRECTION ACTIONNA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 DIRECTION ACTIONNAIRES.jpg"/>
                    <pic:cNvPicPr/>
                  </pic:nvPicPr>
                  <pic:blipFill>
                    <a:blip r:embed="rId15" cstate="print"/>
                    <a:stretch>
                      <a:fillRect/>
                    </a:stretch>
                  </pic:blipFill>
                  <pic:spPr>
                    <a:xfrm>
                      <a:off x="0" y="0"/>
                      <a:ext cx="2304288" cy="7693152"/>
                    </a:xfrm>
                    <a:prstGeom prst="rect">
                      <a:avLst/>
                    </a:prstGeom>
                  </pic:spPr>
                </pic:pic>
              </a:graphicData>
            </a:graphic>
          </wp:inline>
        </w:drawing>
      </w:r>
    </w:p>
    <w:p w:rsidR="002B0C4A" w:rsidRDefault="00950AC0" w:rsidP="002B0C4A">
      <w:pPr>
        <w:rPr>
          <w:sz w:val="16"/>
          <w:szCs w:val="16"/>
        </w:rPr>
      </w:pPr>
      <w:r w:rsidRPr="00950AC0">
        <w:rPr>
          <w:sz w:val="16"/>
          <w:szCs w:val="16"/>
        </w:rPr>
        <w:t>Source : ACTIONNAIRES LA LETTRE</w:t>
      </w:r>
      <w:r>
        <w:rPr>
          <w:sz w:val="16"/>
          <w:szCs w:val="16"/>
        </w:rPr>
        <w:t xml:space="preserve"> du 21 Mars 2015</w:t>
      </w:r>
    </w:p>
    <w:p w:rsidR="00950AC0" w:rsidRDefault="00950AC0" w:rsidP="002B0C4A">
      <w:pPr>
        <w:rPr>
          <w:sz w:val="16"/>
          <w:szCs w:val="16"/>
        </w:rPr>
      </w:pPr>
    </w:p>
    <w:p w:rsidR="00950AC0" w:rsidRDefault="00950AC0" w:rsidP="002B0C4A">
      <w:pPr>
        <w:rPr>
          <w:sz w:val="16"/>
          <w:szCs w:val="16"/>
        </w:rPr>
      </w:pPr>
    </w:p>
    <w:p w:rsidR="00070F32" w:rsidRDefault="00E830CF" w:rsidP="00EC6D2E">
      <w:pPr>
        <w:pStyle w:val="Corpsdetexte2"/>
        <w:pBdr>
          <w:top w:val="double" w:sz="6" w:space="3" w:color="auto"/>
          <w:bottom w:val="double" w:sz="6" w:space="0" w:color="auto"/>
        </w:pBdr>
        <w:tabs>
          <w:tab w:val="clear" w:pos="1440"/>
          <w:tab w:val="clear" w:pos="4320"/>
        </w:tabs>
        <w:spacing w:before="100" w:beforeAutospacing="1"/>
        <w:jc w:val="both"/>
        <w:rPr>
          <w:sz w:val="22"/>
        </w:rPr>
      </w:pPr>
      <w:r>
        <w:rPr>
          <w:sz w:val="22"/>
        </w:rPr>
        <w:sym w:font="Wingdings" w:char="F0E8"/>
      </w:r>
      <w:r>
        <w:rPr>
          <w:sz w:val="22"/>
        </w:rPr>
        <w:t xml:space="preserve"> Prochain C</w:t>
      </w:r>
      <w:r w:rsidR="00EE788E">
        <w:rPr>
          <w:sz w:val="22"/>
        </w:rPr>
        <w:t>SP E/M le jeudi 25 juin à Clamart</w:t>
      </w:r>
    </w:p>
    <w:sectPr w:rsidR="00070F32" w:rsidSect="008C6ED4">
      <w:footerReference w:type="first" r:id="rId16"/>
      <w:type w:val="continuous"/>
      <w:pgSz w:w="12240" w:h="15840" w:code="122"/>
      <w:pgMar w:top="284" w:right="720" w:bottom="899" w:left="900" w:header="540" w:footer="454" w:gutter="0"/>
      <w:cols w:num="2" w:space="709"/>
      <w:noEndnote/>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BA9" w:rsidRDefault="006E1BA9">
      <w:r>
        <w:separator/>
      </w:r>
    </w:p>
  </w:endnote>
  <w:endnote w:type="continuationSeparator" w:id="0">
    <w:p w:rsidR="006E1BA9" w:rsidRDefault="006E1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EDF">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Freehand521 BT">
    <w:altName w:val="Arabic Typesetting"/>
    <w:charset w:val="00"/>
    <w:family w:val="script"/>
    <w:pitch w:val="variable"/>
    <w:sig w:usb0="00000001"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229" w:rsidRDefault="00013229">
    <w:pPr>
      <w:pStyle w:val="Normalcentr"/>
      <w:ind w:left="0"/>
      <w:rPr>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281" w:type="dxa"/>
      <w:jc w:val="center"/>
      <w:tblLayout w:type="fixed"/>
      <w:tblLook w:val="04A0" w:firstRow="1" w:lastRow="0" w:firstColumn="1" w:lastColumn="0" w:noHBand="0" w:noVBand="1"/>
    </w:tblPr>
    <w:tblGrid>
      <w:gridCol w:w="27"/>
      <w:gridCol w:w="1412"/>
      <w:gridCol w:w="3130"/>
      <w:gridCol w:w="1413"/>
      <w:gridCol w:w="1412"/>
      <w:gridCol w:w="1271"/>
      <w:gridCol w:w="1271"/>
      <w:gridCol w:w="336"/>
      <w:gridCol w:w="1009"/>
    </w:tblGrid>
    <w:tr w:rsidR="00013229" w:rsidRPr="00EA13F0" w:rsidTr="00A3177E">
      <w:trPr>
        <w:gridAfter w:val="1"/>
        <w:wAfter w:w="939" w:type="dxa"/>
        <w:jc w:val="center"/>
      </w:trPr>
      <w:tc>
        <w:tcPr>
          <w:tcW w:w="10314" w:type="dxa"/>
          <w:gridSpan w:val="8"/>
          <w:vAlign w:val="center"/>
        </w:tcPr>
        <w:p w:rsidR="00013229" w:rsidRPr="00EA13F0" w:rsidRDefault="006E1BA9" w:rsidP="00EA13F0">
          <w:pPr>
            <w:tabs>
              <w:tab w:val="center" w:pos="4536"/>
              <w:tab w:val="right" w:pos="9072"/>
            </w:tabs>
            <w:jc w:val="center"/>
            <w:rPr>
              <w:sz w:val="20"/>
              <w:szCs w:val="20"/>
            </w:rPr>
          </w:pPr>
          <w:r>
            <w:rPr>
              <w:sz w:val="20"/>
              <w:szCs w:val="20"/>
            </w:rPr>
            <w:pict>
              <v:rect id="_x0000_i1025" style="width:0;height:1.5pt" o:hralign="center" o:hrstd="t" o:hr="t" fillcolor="#a0a0a0" stroked="f"/>
            </w:pict>
          </w:r>
        </w:p>
      </w:tc>
    </w:tr>
    <w:tr w:rsidR="00426F10" w:rsidRPr="00EA13F0" w:rsidTr="00F74AA1">
      <w:trPr>
        <w:gridBefore w:val="1"/>
        <w:wBefore w:w="28" w:type="dxa"/>
        <w:jc w:val="center"/>
      </w:trPr>
      <w:tc>
        <w:tcPr>
          <w:tcW w:w="1417" w:type="dxa"/>
        </w:tcPr>
        <w:p w:rsidR="00426F10" w:rsidRPr="001D2B67" w:rsidRDefault="00426F10" w:rsidP="00F74AA1">
          <w:pPr>
            <w:tabs>
              <w:tab w:val="center" w:pos="4536"/>
              <w:tab w:val="right" w:pos="9072"/>
            </w:tabs>
            <w:jc w:val="center"/>
            <w:rPr>
              <w:sz w:val="20"/>
              <w:szCs w:val="20"/>
            </w:rPr>
          </w:pPr>
        </w:p>
      </w:tc>
      <w:tc>
        <w:tcPr>
          <w:tcW w:w="9882" w:type="dxa"/>
          <w:gridSpan w:val="7"/>
          <w:vAlign w:val="center"/>
        </w:tcPr>
        <w:p w:rsidR="00426F10" w:rsidRPr="00EA13F0" w:rsidRDefault="006E1BA9" w:rsidP="00F74AA1">
          <w:pPr>
            <w:tabs>
              <w:tab w:val="center" w:pos="4536"/>
              <w:tab w:val="right" w:pos="9072"/>
            </w:tabs>
            <w:jc w:val="center"/>
            <w:rPr>
              <w:sz w:val="20"/>
              <w:szCs w:val="20"/>
            </w:rPr>
          </w:pPr>
          <w:r>
            <w:rPr>
              <w:sz w:val="20"/>
              <w:szCs w:val="20"/>
            </w:rPr>
            <w:pict>
              <v:rect id="_x0000_i1026" style="width:0;height:1.5pt" o:hralign="center" o:hrstd="t" o:hr="t" fillcolor="#a0a0a0" stroked="f"/>
            </w:pict>
          </w:r>
        </w:p>
      </w:tc>
    </w:tr>
    <w:tr w:rsidR="00426F10" w:rsidTr="00F74AA1">
      <w:trPr>
        <w:gridBefore w:val="1"/>
        <w:wBefore w:w="28" w:type="dxa"/>
        <w:jc w:val="center"/>
      </w:trPr>
      <w:tc>
        <w:tcPr>
          <w:tcW w:w="1417" w:type="dxa"/>
        </w:tcPr>
        <w:p w:rsidR="00426F10" w:rsidRPr="00982404" w:rsidRDefault="00426F10" w:rsidP="00F74AA1">
          <w:pPr>
            <w:tabs>
              <w:tab w:val="center" w:pos="4536"/>
              <w:tab w:val="right" w:pos="9072"/>
            </w:tabs>
            <w:jc w:val="center"/>
          </w:pPr>
        </w:p>
      </w:tc>
      <w:tc>
        <w:tcPr>
          <w:tcW w:w="9882" w:type="dxa"/>
          <w:gridSpan w:val="7"/>
          <w:vAlign w:val="center"/>
        </w:tcPr>
        <w:p w:rsidR="00426F10" w:rsidRPr="00982404" w:rsidRDefault="00426F10" w:rsidP="00F74AA1">
          <w:pPr>
            <w:tabs>
              <w:tab w:val="center" w:pos="4536"/>
              <w:tab w:val="right" w:pos="9072"/>
            </w:tabs>
            <w:jc w:val="center"/>
          </w:pPr>
          <w:r w:rsidRPr="00982404">
            <w:t>Contacts CGT : Chatou 47 80 64, Clamart 47 52 24, Les Renardières 57 67 64</w:t>
          </w:r>
        </w:p>
      </w:tc>
    </w:tr>
    <w:tr w:rsidR="00426F10" w:rsidRPr="00C55BE8" w:rsidTr="00F74AA1">
      <w:trPr>
        <w:trHeight w:val="1481"/>
        <w:jc w:val="center"/>
      </w:trPr>
      <w:tc>
        <w:tcPr>
          <w:tcW w:w="4590" w:type="dxa"/>
          <w:gridSpan w:val="3"/>
          <w:vAlign w:val="center"/>
        </w:tcPr>
        <w:p w:rsidR="00426F10" w:rsidRPr="00C55BE8" w:rsidRDefault="00426F10" w:rsidP="00F74AA1">
          <w:pPr>
            <w:tabs>
              <w:tab w:val="center" w:pos="4536"/>
              <w:tab w:val="right" w:pos="9072"/>
            </w:tabs>
            <w:jc w:val="center"/>
            <w:rPr>
              <w:b/>
              <w:i/>
            </w:rPr>
          </w:pPr>
          <w:r w:rsidRPr="00C55BE8">
            <w:rPr>
              <w:b/>
              <w:i/>
            </w:rPr>
            <w:t>Vos représen</w:t>
          </w:r>
          <w:r>
            <w:rPr>
              <w:b/>
              <w:i/>
            </w:rPr>
            <w:t xml:space="preserve">tants en Commission Secondaire </w:t>
          </w:r>
          <w:r w:rsidRPr="00C55BE8">
            <w:rPr>
              <w:b/>
              <w:i/>
            </w:rPr>
            <w:t>du Personnel Exécution / Maîtrise CGT EDF R&amp;D</w:t>
          </w:r>
        </w:p>
      </w:tc>
      <w:tc>
        <w:tcPr>
          <w:tcW w:w="1418" w:type="dxa"/>
        </w:tcPr>
        <w:p w:rsidR="00426F10" w:rsidRPr="00C55BE8" w:rsidRDefault="00426F10" w:rsidP="00F74AA1">
          <w:pPr>
            <w:tabs>
              <w:tab w:val="center" w:pos="4536"/>
              <w:tab w:val="right" w:pos="9072"/>
            </w:tabs>
            <w:jc w:val="center"/>
            <w:rPr>
              <w:b/>
              <w:i/>
            </w:rPr>
          </w:pPr>
          <w:r>
            <w:rPr>
              <w:b/>
              <w:noProof/>
            </w:rPr>
            <w:drawing>
              <wp:anchor distT="0" distB="0" distL="114300" distR="114300" simplePos="0" relativeHeight="251661312" behindDoc="0" locked="0" layoutInCell="1" allowOverlap="1">
                <wp:simplePos x="0" y="0"/>
                <wp:positionH relativeFrom="column">
                  <wp:posOffset>2500630</wp:posOffset>
                </wp:positionH>
                <wp:positionV relativeFrom="paragraph">
                  <wp:posOffset>5616575</wp:posOffset>
                </wp:positionV>
                <wp:extent cx="783590" cy="920750"/>
                <wp:effectExtent l="19050" t="0" r="0" b="0"/>
                <wp:wrapNone/>
                <wp:docPr id="1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22035" r="9444"/>
                        <a:stretch>
                          <a:fillRect/>
                        </a:stretch>
                      </pic:blipFill>
                      <pic:spPr bwMode="auto">
                        <a:xfrm>
                          <a:off x="0" y="0"/>
                          <a:ext cx="783590" cy="920750"/>
                        </a:xfrm>
                        <a:prstGeom prst="rect">
                          <a:avLst/>
                        </a:prstGeom>
                        <a:noFill/>
                      </pic:spPr>
                    </pic:pic>
                  </a:graphicData>
                </a:graphic>
              </wp:anchor>
            </w:drawing>
          </w:r>
          <w:r>
            <w:rPr>
              <w:b/>
              <w:noProof/>
            </w:rPr>
            <w:drawing>
              <wp:anchor distT="0" distB="0" distL="114300" distR="114300" simplePos="0" relativeHeight="251660288" behindDoc="0" locked="0" layoutInCell="1" allowOverlap="1">
                <wp:simplePos x="0" y="0"/>
                <wp:positionH relativeFrom="column">
                  <wp:posOffset>2500630</wp:posOffset>
                </wp:positionH>
                <wp:positionV relativeFrom="paragraph">
                  <wp:posOffset>5616575</wp:posOffset>
                </wp:positionV>
                <wp:extent cx="783590" cy="920750"/>
                <wp:effectExtent l="19050" t="0" r="0" b="0"/>
                <wp:wrapNone/>
                <wp:docPr id="1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l="22035" r="9444"/>
                        <a:stretch>
                          <a:fillRect/>
                        </a:stretch>
                      </pic:blipFill>
                      <pic:spPr bwMode="auto">
                        <a:xfrm>
                          <a:off x="0" y="0"/>
                          <a:ext cx="783590" cy="920750"/>
                        </a:xfrm>
                        <a:prstGeom prst="rect">
                          <a:avLst/>
                        </a:prstGeom>
                        <a:noFill/>
                      </pic:spPr>
                    </pic:pic>
                  </a:graphicData>
                </a:graphic>
              </wp:anchor>
            </w:drawing>
          </w:r>
          <w:r>
            <w:rPr>
              <w:b/>
              <w:noProof/>
            </w:rPr>
            <w:drawing>
              <wp:anchor distT="0" distB="0" distL="114300" distR="114300" simplePos="0" relativeHeight="251659264" behindDoc="0" locked="0" layoutInCell="1" allowOverlap="1">
                <wp:simplePos x="0" y="0"/>
                <wp:positionH relativeFrom="column">
                  <wp:posOffset>2500630</wp:posOffset>
                </wp:positionH>
                <wp:positionV relativeFrom="paragraph">
                  <wp:posOffset>5616575</wp:posOffset>
                </wp:positionV>
                <wp:extent cx="783590" cy="920750"/>
                <wp:effectExtent l="19050" t="0" r="0" b="0"/>
                <wp:wrapNone/>
                <wp:docPr id="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l="22035" r="9444"/>
                        <a:stretch>
                          <a:fillRect/>
                        </a:stretch>
                      </pic:blipFill>
                      <pic:spPr bwMode="auto">
                        <a:xfrm>
                          <a:off x="0" y="0"/>
                          <a:ext cx="783590" cy="920750"/>
                        </a:xfrm>
                        <a:prstGeom prst="rect">
                          <a:avLst/>
                        </a:prstGeom>
                        <a:noFill/>
                      </pic:spPr>
                    </pic:pic>
                  </a:graphicData>
                </a:graphic>
              </wp:anchor>
            </w:drawing>
          </w:r>
          <w:r>
            <w:rPr>
              <w:b/>
              <w:noProof/>
            </w:rPr>
            <w:drawing>
              <wp:inline distT="0" distB="0" distL="0" distR="0">
                <wp:extent cx="695960" cy="881380"/>
                <wp:effectExtent l="19050" t="0" r="8890" b="0"/>
                <wp:docPr id="15" name="Image 1" descr="F:\2014 - Syndicat CGT\- Secrétariat\LISTES IRP-TROMBI Elus\TROMBINOSCOPES  ELUS\2014 Trombi ELUS 2013-2016\Trombi CGT 2013-2016\trombi point doc\1Michèle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F:\2014 - Syndicat CGT\- Secrétariat\LISTES IRP-TROMBI Elus\TROMBINOSCOPES  ELUS\2014 Trombi ELUS 2013-2016\Trombi CGT 2013-2016\trombi point doc\1Michèle A.jpg"/>
                        <pic:cNvPicPr>
                          <a:picLocks noChangeAspect="1" noChangeArrowheads="1"/>
                        </pic:cNvPicPr>
                      </pic:nvPicPr>
                      <pic:blipFill>
                        <a:blip r:embed="rId2"/>
                        <a:srcRect/>
                        <a:stretch>
                          <a:fillRect/>
                        </a:stretch>
                      </pic:blipFill>
                      <pic:spPr bwMode="auto">
                        <a:xfrm>
                          <a:off x="0" y="0"/>
                          <a:ext cx="695960" cy="881380"/>
                        </a:xfrm>
                        <a:prstGeom prst="rect">
                          <a:avLst/>
                        </a:prstGeom>
                        <a:noFill/>
                        <a:ln w="9525">
                          <a:noFill/>
                          <a:miter lim="800000"/>
                          <a:headEnd/>
                          <a:tailEnd/>
                        </a:ln>
                      </pic:spPr>
                    </pic:pic>
                  </a:graphicData>
                </a:graphic>
              </wp:inline>
            </w:drawing>
          </w:r>
        </w:p>
      </w:tc>
      <w:tc>
        <w:tcPr>
          <w:tcW w:w="1417" w:type="dxa"/>
          <w:vAlign w:val="center"/>
        </w:tcPr>
        <w:p w:rsidR="00426F10" w:rsidRPr="00C55BE8" w:rsidRDefault="00426F10" w:rsidP="00F74AA1">
          <w:pPr>
            <w:tabs>
              <w:tab w:val="center" w:pos="4536"/>
              <w:tab w:val="right" w:pos="9072"/>
            </w:tabs>
            <w:jc w:val="center"/>
            <w:rPr>
              <w:b/>
              <w:i/>
            </w:rPr>
          </w:pPr>
          <w:r>
            <w:rPr>
              <w:b/>
              <w:bCs/>
              <w:noProof/>
              <w:sz w:val="16"/>
              <w:szCs w:val="16"/>
            </w:rPr>
            <w:drawing>
              <wp:anchor distT="0" distB="0" distL="114300" distR="114300" simplePos="0" relativeHeight="251662336" behindDoc="0" locked="0" layoutInCell="1" allowOverlap="1">
                <wp:simplePos x="0" y="0"/>
                <wp:positionH relativeFrom="column">
                  <wp:posOffset>2500630</wp:posOffset>
                </wp:positionH>
                <wp:positionV relativeFrom="paragraph">
                  <wp:posOffset>5616575</wp:posOffset>
                </wp:positionV>
                <wp:extent cx="783590" cy="920750"/>
                <wp:effectExtent l="19050" t="0" r="0" b="0"/>
                <wp:wrapNone/>
                <wp:docPr id="1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l="22035" r="9444"/>
                        <a:stretch>
                          <a:fillRect/>
                        </a:stretch>
                      </pic:blipFill>
                      <pic:spPr bwMode="auto">
                        <a:xfrm>
                          <a:off x="0" y="0"/>
                          <a:ext cx="783590" cy="920750"/>
                        </a:xfrm>
                        <a:prstGeom prst="rect">
                          <a:avLst/>
                        </a:prstGeom>
                        <a:noFill/>
                      </pic:spPr>
                    </pic:pic>
                  </a:graphicData>
                </a:graphic>
              </wp:anchor>
            </w:drawing>
          </w:r>
          <w:r>
            <w:rPr>
              <w:b/>
              <w:bCs/>
              <w:noProof/>
              <w:sz w:val="16"/>
              <w:szCs w:val="16"/>
            </w:rPr>
            <w:drawing>
              <wp:inline distT="0" distB="0" distL="0" distR="0">
                <wp:extent cx="721995" cy="894715"/>
                <wp:effectExtent l="19050" t="0" r="1905" b="0"/>
                <wp:docPr id="17" name="Image 2" descr="A 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
                        <pic:cNvPicPr>
                          <a:picLocks noChangeAspect="1" noChangeArrowheads="1"/>
                        </pic:cNvPicPr>
                      </pic:nvPicPr>
                      <pic:blipFill>
                        <a:blip r:embed="rId3"/>
                        <a:srcRect/>
                        <a:stretch>
                          <a:fillRect/>
                        </a:stretch>
                      </pic:blipFill>
                      <pic:spPr bwMode="auto">
                        <a:xfrm>
                          <a:off x="0" y="0"/>
                          <a:ext cx="721995" cy="894715"/>
                        </a:xfrm>
                        <a:prstGeom prst="rect">
                          <a:avLst/>
                        </a:prstGeom>
                        <a:noFill/>
                        <a:ln w="9525">
                          <a:noFill/>
                          <a:miter lim="800000"/>
                          <a:headEnd/>
                          <a:tailEnd/>
                        </a:ln>
                      </pic:spPr>
                    </pic:pic>
                  </a:graphicData>
                </a:graphic>
              </wp:inline>
            </w:drawing>
          </w:r>
        </w:p>
      </w:tc>
      <w:tc>
        <w:tcPr>
          <w:tcW w:w="1276" w:type="dxa"/>
          <w:vAlign w:val="center"/>
        </w:tcPr>
        <w:p w:rsidR="00426F10" w:rsidRPr="00C55BE8" w:rsidRDefault="00426F10" w:rsidP="00F74AA1">
          <w:pPr>
            <w:tabs>
              <w:tab w:val="center" w:pos="4536"/>
              <w:tab w:val="right" w:pos="9072"/>
            </w:tabs>
            <w:rPr>
              <w:b/>
              <w:i/>
            </w:rPr>
          </w:pPr>
          <w:r>
            <w:rPr>
              <w:noProof/>
            </w:rPr>
            <w:drawing>
              <wp:inline distT="0" distB="0" distL="0" distR="0">
                <wp:extent cx="728741" cy="900000"/>
                <wp:effectExtent l="19050" t="0" r="0" b="0"/>
                <wp:docPr id="18" name="Image 2" descr="IMG_0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842"/>
                        <pic:cNvPicPr>
                          <a:picLocks noChangeAspect="1" noChangeArrowheads="1"/>
                        </pic:cNvPicPr>
                      </pic:nvPicPr>
                      <pic:blipFill>
                        <a:blip r:embed="rId4"/>
                        <a:srcRect/>
                        <a:stretch>
                          <a:fillRect/>
                        </a:stretch>
                      </pic:blipFill>
                      <pic:spPr bwMode="auto">
                        <a:xfrm>
                          <a:off x="0" y="0"/>
                          <a:ext cx="728741" cy="900000"/>
                        </a:xfrm>
                        <a:prstGeom prst="rect">
                          <a:avLst/>
                        </a:prstGeom>
                        <a:noFill/>
                        <a:ln w="9525">
                          <a:noFill/>
                          <a:miter lim="800000"/>
                          <a:headEnd/>
                          <a:tailEnd/>
                        </a:ln>
                      </pic:spPr>
                    </pic:pic>
                  </a:graphicData>
                </a:graphic>
              </wp:inline>
            </w:drawing>
          </w:r>
        </w:p>
      </w:tc>
      <w:tc>
        <w:tcPr>
          <w:tcW w:w="1276" w:type="dxa"/>
        </w:tcPr>
        <w:p w:rsidR="00426F10" w:rsidRDefault="00426F10" w:rsidP="00F74AA1">
          <w:pPr>
            <w:tabs>
              <w:tab w:val="center" w:pos="4536"/>
              <w:tab w:val="right" w:pos="9072"/>
            </w:tabs>
            <w:rPr>
              <w:noProof/>
            </w:rPr>
          </w:pPr>
          <w:r>
            <w:rPr>
              <w:noProof/>
            </w:rPr>
            <w:drawing>
              <wp:inline distT="0" distB="0" distL="0" distR="0">
                <wp:extent cx="684901" cy="900000"/>
                <wp:effectExtent l="19050" t="0" r="899" b="0"/>
                <wp:docPr id="19" name="Image 0" descr="Nibas Jo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bas Joel.JPG"/>
                        <pic:cNvPicPr/>
                      </pic:nvPicPr>
                      <pic:blipFill>
                        <a:blip r:embed="rId5"/>
                        <a:stretch>
                          <a:fillRect/>
                        </a:stretch>
                      </pic:blipFill>
                      <pic:spPr>
                        <a:xfrm>
                          <a:off x="0" y="0"/>
                          <a:ext cx="684901" cy="900000"/>
                        </a:xfrm>
                        <a:prstGeom prst="rect">
                          <a:avLst/>
                        </a:prstGeom>
                      </pic:spPr>
                    </pic:pic>
                  </a:graphicData>
                </a:graphic>
              </wp:inline>
            </w:drawing>
          </w:r>
        </w:p>
      </w:tc>
      <w:tc>
        <w:tcPr>
          <w:tcW w:w="1350" w:type="dxa"/>
          <w:gridSpan w:val="2"/>
        </w:tcPr>
        <w:p w:rsidR="00426F10" w:rsidRDefault="00426F10" w:rsidP="00F74AA1">
          <w:pPr>
            <w:tabs>
              <w:tab w:val="center" w:pos="4536"/>
              <w:tab w:val="right" w:pos="9072"/>
            </w:tabs>
            <w:rPr>
              <w:noProof/>
            </w:rPr>
          </w:pPr>
          <w:r>
            <w:rPr>
              <w:noProof/>
            </w:rPr>
            <w:drawing>
              <wp:inline distT="0" distB="0" distL="0" distR="0">
                <wp:extent cx="797019" cy="900000"/>
                <wp:effectExtent l="19050" t="0" r="3081" b="0"/>
                <wp:docPr id="25" name="Image 24" descr="guel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elle.png"/>
                        <pic:cNvPicPr/>
                      </pic:nvPicPr>
                      <pic:blipFill>
                        <a:blip r:embed="rId6"/>
                        <a:stretch>
                          <a:fillRect/>
                        </a:stretch>
                      </pic:blipFill>
                      <pic:spPr>
                        <a:xfrm>
                          <a:off x="0" y="0"/>
                          <a:ext cx="797019" cy="900000"/>
                        </a:xfrm>
                        <a:prstGeom prst="rect">
                          <a:avLst/>
                        </a:prstGeom>
                      </pic:spPr>
                    </pic:pic>
                  </a:graphicData>
                </a:graphic>
              </wp:inline>
            </w:drawing>
          </w:r>
          <w:r>
            <w:rPr>
              <w:noProof/>
            </w:rPr>
            <w:drawing>
              <wp:anchor distT="0" distB="0" distL="114300" distR="114300" simplePos="0" relativeHeight="251664384" behindDoc="0" locked="0" layoutInCell="1" allowOverlap="1">
                <wp:simplePos x="0" y="0"/>
                <wp:positionH relativeFrom="column">
                  <wp:posOffset>2500630</wp:posOffset>
                </wp:positionH>
                <wp:positionV relativeFrom="paragraph">
                  <wp:posOffset>5616575</wp:posOffset>
                </wp:positionV>
                <wp:extent cx="783590" cy="920750"/>
                <wp:effectExtent l="19050" t="0" r="0" b="0"/>
                <wp:wrapNone/>
                <wp:docPr id="2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l="22035" r="9444"/>
                        <a:stretch>
                          <a:fillRect/>
                        </a:stretch>
                      </pic:blipFill>
                      <pic:spPr bwMode="auto">
                        <a:xfrm>
                          <a:off x="0" y="0"/>
                          <a:ext cx="783590" cy="920750"/>
                        </a:xfrm>
                        <a:prstGeom prst="rect">
                          <a:avLst/>
                        </a:prstGeom>
                        <a:noFill/>
                      </pic:spPr>
                    </pic:pic>
                  </a:graphicData>
                </a:graphic>
              </wp:anchor>
            </w:drawing>
          </w:r>
          <w:r>
            <w:rPr>
              <w:noProof/>
            </w:rPr>
            <w:drawing>
              <wp:anchor distT="0" distB="0" distL="114300" distR="114300" simplePos="0" relativeHeight="251663360" behindDoc="0" locked="0" layoutInCell="1" allowOverlap="1">
                <wp:simplePos x="0" y="0"/>
                <wp:positionH relativeFrom="column">
                  <wp:posOffset>2500630</wp:posOffset>
                </wp:positionH>
                <wp:positionV relativeFrom="paragraph">
                  <wp:posOffset>5616575</wp:posOffset>
                </wp:positionV>
                <wp:extent cx="783590" cy="920750"/>
                <wp:effectExtent l="19050" t="0" r="0" b="0"/>
                <wp:wrapNone/>
                <wp:docPr id="2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l="22035" r="9444"/>
                        <a:stretch>
                          <a:fillRect/>
                        </a:stretch>
                      </pic:blipFill>
                      <pic:spPr bwMode="auto">
                        <a:xfrm>
                          <a:off x="0" y="0"/>
                          <a:ext cx="783590" cy="920750"/>
                        </a:xfrm>
                        <a:prstGeom prst="rect">
                          <a:avLst/>
                        </a:prstGeom>
                        <a:noFill/>
                      </pic:spPr>
                    </pic:pic>
                  </a:graphicData>
                </a:graphic>
              </wp:anchor>
            </w:drawing>
          </w:r>
        </w:p>
      </w:tc>
    </w:tr>
  </w:tbl>
  <w:p w:rsidR="00013229" w:rsidRDefault="00013229" w:rsidP="00633B1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229" w:rsidRDefault="00013229">
    <w:pPr>
      <w:pStyle w:val="Pieddepage"/>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BA9" w:rsidRDefault="006E1BA9">
      <w:r>
        <w:separator/>
      </w:r>
    </w:p>
  </w:footnote>
  <w:footnote w:type="continuationSeparator" w:id="0">
    <w:p w:rsidR="006E1BA9" w:rsidRDefault="006E1B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229" w:rsidRDefault="00DA3169">
    <w:pPr>
      <w:pStyle w:val="En-tte"/>
      <w:jc w:val="right"/>
    </w:pPr>
    <w:r>
      <w:rPr>
        <w:rStyle w:val="Numrodepage"/>
      </w:rPr>
      <w:fldChar w:fldCharType="begin"/>
    </w:r>
    <w:r w:rsidR="00013229">
      <w:rPr>
        <w:rStyle w:val="Numrodepage"/>
      </w:rPr>
      <w:instrText xml:space="preserve"> PAGE </w:instrText>
    </w:r>
    <w:r>
      <w:rPr>
        <w:rStyle w:val="Numrodepage"/>
      </w:rPr>
      <w:fldChar w:fldCharType="separate"/>
    </w:r>
    <w:r w:rsidR="00A97100">
      <w:rPr>
        <w:rStyle w:val="Numrodepage"/>
        <w:noProof/>
      </w:rPr>
      <w:t>2</w:t>
    </w:r>
    <w:r>
      <w:rPr>
        <w:rStyle w:val="Numrodepage"/>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3229" w:rsidRDefault="00013229">
    <w:pPr>
      <w:pStyle w:val="En-tte"/>
      <w:spacing w:line="120" w:lineRule="auto"/>
      <w:jc w:val="cent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6C8469FA"/>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34DA45C9"/>
    <w:multiLevelType w:val="hybridMultilevel"/>
    <w:tmpl w:val="79CC1C76"/>
    <w:lvl w:ilvl="0" w:tplc="0018E6A8">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16C1527"/>
    <w:multiLevelType w:val="hybridMultilevel"/>
    <w:tmpl w:val="281C3114"/>
    <w:lvl w:ilvl="0" w:tplc="84AC28D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3B02B28"/>
    <w:multiLevelType w:val="hybridMultilevel"/>
    <w:tmpl w:val="F168B9C8"/>
    <w:lvl w:ilvl="0" w:tplc="596CE59A">
      <w:start w:val="2"/>
      <w:numFmt w:val="bullet"/>
      <w:lvlText w:val="-"/>
      <w:lvlJc w:val="left"/>
      <w:pPr>
        <w:ind w:left="417" w:hanging="360"/>
      </w:pPr>
      <w:rPr>
        <w:rFonts w:ascii="Times New Roman" w:eastAsia="Times New Roman" w:hAnsi="Times New Roman" w:cs="Times New Roman" w:hint="default"/>
      </w:rPr>
    </w:lvl>
    <w:lvl w:ilvl="1" w:tplc="040C0003" w:tentative="1">
      <w:start w:val="1"/>
      <w:numFmt w:val="bullet"/>
      <w:lvlText w:val="o"/>
      <w:lvlJc w:val="left"/>
      <w:pPr>
        <w:ind w:left="1137" w:hanging="360"/>
      </w:pPr>
      <w:rPr>
        <w:rFonts w:ascii="Courier New" w:hAnsi="Courier New" w:cs="Courier New" w:hint="default"/>
      </w:rPr>
    </w:lvl>
    <w:lvl w:ilvl="2" w:tplc="040C0005" w:tentative="1">
      <w:start w:val="1"/>
      <w:numFmt w:val="bullet"/>
      <w:lvlText w:val=""/>
      <w:lvlJc w:val="left"/>
      <w:pPr>
        <w:ind w:left="1857" w:hanging="360"/>
      </w:pPr>
      <w:rPr>
        <w:rFonts w:ascii="Wingdings" w:hAnsi="Wingdings" w:hint="default"/>
      </w:rPr>
    </w:lvl>
    <w:lvl w:ilvl="3" w:tplc="040C0001" w:tentative="1">
      <w:start w:val="1"/>
      <w:numFmt w:val="bullet"/>
      <w:lvlText w:val=""/>
      <w:lvlJc w:val="left"/>
      <w:pPr>
        <w:ind w:left="2577" w:hanging="360"/>
      </w:pPr>
      <w:rPr>
        <w:rFonts w:ascii="Symbol" w:hAnsi="Symbol" w:hint="default"/>
      </w:rPr>
    </w:lvl>
    <w:lvl w:ilvl="4" w:tplc="040C0003" w:tentative="1">
      <w:start w:val="1"/>
      <w:numFmt w:val="bullet"/>
      <w:lvlText w:val="o"/>
      <w:lvlJc w:val="left"/>
      <w:pPr>
        <w:ind w:left="3297" w:hanging="360"/>
      </w:pPr>
      <w:rPr>
        <w:rFonts w:ascii="Courier New" w:hAnsi="Courier New" w:cs="Courier New" w:hint="default"/>
      </w:rPr>
    </w:lvl>
    <w:lvl w:ilvl="5" w:tplc="040C0005" w:tentative="1">
      <w:start w:val="1"/>
      <w:numFmt w:val="bullet"/>
      <w:lvlText w:val=""/>
      <w:lvlJc w:val="left"/>
      <w:pPr>
        <w:ind w:left="4017" w:hanging="360"/>
      </w:pPr>
      <w:rPr>
        <w:rFonts w:ascii="Wingdings" w:hAnsi="Wingdings" w:hint="default"/>
      </w:rPr>
    </w:lvl>
    <w:lvl w:ilvl="6" w:tplc="040C0001" w:tentative="1">
      <w:start w:val="1"/>
      <w:numFmt w:val="bullet"/>
      <w:lvlText w:val=""/>
      <w:lvlJc w:val="left"/>
      <w:pPr>
        <w:ind w:left="4737" w:hanging="360"/>
      </w:pPr>
      <w:rPr>
        <w:rFonts w:ascii="Symbol" w:hAnsi="Symbol" w:hint="default"/>
      </w:rPr>
    </w:lvl>
    <w:lvl w:ilvl="7" w:tplc="040C0003" w:tentative="1">
      <w:start w:val="1"/>
      <w:numFmt w:val="bullet"/>
      <w:lvlText w:val="o"/>
      <w:lvlJc w:val="left"/>
      <w:pPr>
        <w:ind w:left="5457" w:hanging="360"/>
      </w:pPr>
      <w:rPr>
        <w:rFonts w:ascii="Courier New" w:hAnsi="Courier New" w:cs="Courier New" w:hint="default"/>
      </w:rPr>
    </w:lvl>
    <w:lvl w:ilvl="8" w:tplc="040C0005" w:tentative="1">
      <w:start w:val="1"/>
      <w:numFmt w:val="bullet"/>
      <w:lvlText w:val=""/>
      <w:lvlJc w:val="left"/>
      <w:pPr>
        <w:ind w:left="6177" w:hanging="360"/>
      </w:pPr>
      <w:rPr>
        <w:rFonts w:ascii="Wingdings" w:hAnsi="Wingdings" w:hint="default"/>
      </w:rPr>
    </w:lvl>
  </w:abstractNum>
  <w:abstractNum w:abstractNumId="4" w15:restartNumberingAfterBreak="0">
    <w:nsid w:val="79CB35BA"/>
    <w:multiLevelType w:val="hybridMultilevel"/>
    <w:tmpl w:val="F2CAD1BE"/>
    <w:lvl w:ilvl="0" w:tplc="7C648A24">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08"/>
  <w:hyphenationZone w:val="425"/>
  <w:drawingGridHorizontalSpacing w:val="120"/>
  <w:displayHorizontalDrawingGridEvery w:val="2"/>
  <w:noPunctuationKerning/>
  <w:characterSpacingControl w:val="doNotCompress"/>
  <w:hdrShapeDefaults>
    <o:shapedefaults v:ext="edit" spidmax="2049" fillcolor="#ddd" strokecolor="#969696">
      <v:fill color="#ddd" type="tile"/>
      <v:stroke color="#969696"/>
      <v:shadow on="t" type="perspective" color="#c7dfd3" origin="-.5,-.5" offset="-26pt,-36pt" matrix="1.25,,,1.2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5D94"/>
    <w:rsid w:val="0000005E"/>
    <w:rsid w:val="00000086"/>
    <w:rsid w:val="000028B2"/>
    <w:rsid w:val="000046FC"/>
    <w:rsid w:val="00004AB8"/>
    <w:rsid w:val="00006A1F"/>
    <w:rsid w:val="0001063F"/>
    <w:rsid w:val="00010BD9"/>
    <w:rsid w:val="00013229"/>
    <w:rsid w:val="000146D5"/>
    <w:rsid w:val="0002506F"/>
    <w:rsid w:val="00025BE6"/>
    <w:rsid w:val="00032194"/>
    <w:rsid w:val="00033D6B"/>
    <w:rsid w:val="00033E10"/>
    <w:rsid w:val="0003437C"/>
    <w:rsid w:val="00036484"/>
    <w:rsid w:val="0003693A"/>
    <w:rsid w:val="00043EBB"/>
    <w:rsid w:val="000546F5"/>
    <w:rsid w:val="00054A95"/>
    <w:rsid w:val="000628DC"/>
    <w:rsid w:val="00064659"/>
    <w:rsid w:val="00064B96"/>
    <w:rsid w:val="00066AC5"/>
    <w:rsid w:val="00066E6B"/>
    <w:rsid w:val="00070F32"/>
    <w:rsid w:val="00080AFE"/>
    <w:rsid w:val="00085632"/>
    <w:rsid w:val="000903A9"/>
    <w:rsid w:val="00091059"/>
    <w:rsid w:val="00097E7B"/>
    <w:rsid w:val="000A49B1"/>
    <w:rsid w:val="000A5E8D"/>
    <w:rsid w:val="000B2F03"/>
    <w:rsid w:val="000B2F07"/>
    <w:rsid w:val="000B5155"/>
    <w:rsid w:val="000B537A"/>
    <w:rsid w:val="000B6F36"/>
    <w:rsid w:val="000B71A4"/>
    <w:rsid w:val="000C0A6C"/>
    <w:rsid w:val="000C38E2"/>
    <w:rsid w:val="000C62C9"/>
    <w:rsid w:val="000D20B4"/>
    <w:rsid w:val="000D2D67"/>
    <w:rsid w:val="000E1BC6"/>
    <w:rsid w:val="000E520C"/>
    <w:rsid w:val="000E5A2D"/>
    <w:rsid w:val="000E6C0B"/>
    <w:rsid w:val="000E6CF1"/>
    <w:rsid w:val="000E78CE"/>
    <w:rsid w:val="000E7EDC"/>
    <w:rsid w:val="00100311"/>
    <w:rsid w:val="00110D6F"/>
    <w:rsid w:val="00111CE6"/>
    <w:rsid w:val="00116430"/>
    <w:rsid w:val="00116734"/>
    <w:rsid w:val="001220B8"/>
    <w:rsid w:val="00125E02"/>
    <w:rsid w:val="00125E18"/>
    <w:rsid w:val="00132398"/>
    <w:rsid w:val="00134693"/>
    <w:rsid w:val="00142D88"/>
    <w:rsid w:val="00154F5C"/>
    <w:rsid w:val="00156533"/>
    <w:rsid w:val="001578AA"/>
    <w:rsid w:val="00172036"/>
    <w:rsid w:val="00172A8B"/>
    <w:rsid w:val="0017584E"/>
    <w:rsid w:val="00175BE9"/>
    <w:rsid w:val="00176F38"/>
    <w:rsid w:val="00184DE0"/>
    <w:rsid w:val="001968D8"/>
    <w:rsid w:val="001A0D87"/>
    <w:rsid w:val="001A1ED5"/>
    <w:rsid w:val="001A34E7"/>
    <w:rsid w:val="001B2718"/>
    <w:rsid w:val="001B2C5A"/>
    <w:rsid w:val="001B4BEF"/>
    <w:rsid w:val="001C4287"/>
    <w:rsid w:val="001C7190"/>
    <w:rsid w:val="001C772B"/>
    <w:rsid w:val="001D3424"/>
    <w:rsid w:val="001D38FE"/>
    <w:rsid w:val="001D69C4"/>
    <w:rsid w:val="001E16BB"/>
    <w:rsid w:val="001E185F"/>
    <w:rsid w:val="001E41D7"/>
    <w:rsid w:val="001F0D30"/>
    <w:rsid w:val="001F2888"/>
    <w:rsid w:val="001F6B6C"/>
    <w:rsid w:val="00201221"/>
    <w:rsid w:val="00201483"/>
    <w:rsid w:val="00204D8C"/>
    <w:rsid w:val="00205F57"/>
    <w:rsid w:val="00212C5A"/>
    <w:rsid w:val="0021407A"/>
    <w:rsid w:val="00215C40"/>
    <w:rsid w:val="00215FF3"/>
    <w:rsid w:val="00220BE7"/>
    <w:rsid w:val="00220CC3"/>
    <w:rsid w:val="00223C62"/>
    <w:rsid w:val="00225E67"/>
    <w:rsid w:val="00231117"/>
    <w:rsid w:val="00231776"/>
    <w:rsid w:val="00235572"/>
    <w:rsid w:val="00236980"/>
    <w:rsid w:val="002376D9"/>
    <w:rsid w:val="00237E4B"/>
    <w:rsid w:val="00241696"/>
    <w:rsid w:val="00243AE1"/>
    <w:rsid w:val="00247437"/>
    <w:rsid w:val="00251B59"/>
    <w:rsid w:val="002539DD"/>
    <w:rsid w:val="002544FE"/>
    <w:rsid w:val="00255FAB"/>
    <w:rsid w:val="00260D95"/>
    <w:rsid w:val="0027374F"/>
    <w:rsid w:val="00280442"/>
    <w:rsid w:val="002832E4"/>
    <w:rsid w:val="00286E65"/>
    <w:rsid w:val="0029300C"/>
    <w:rsid w:val="002A3ECD"/>
    <w:rsid w:val="002A6A50"/>
    <w:rsid w:val="002B0C4A"/>
    <w:rsid w:val="002B29B9"/>
    <w:rsid w:val="002C0A4F"/>
    <w:rsid w:val="002C241A"/>
    <w:rsid w:val="002C6728"/>
    <w:rsid w:val="002D0110"/>
    <w:rsid w:val="002D18A4"/>
    <w:rsid w:val="002D7115"/>
    <w:rsid w:val="002D7A20"/>
    <w:rsid w:val="002E0B88"/>
    <w:rsid w:val="002E1935"/>
    <w:rsid w:val="002F07CB"/>
    <w:rsid w:val="002F08D3"/>
    <w:rsid w:val="002F57DA"/>
    <w:rsid w:val="002F5C0D"/>
    <w:rsid w:val="002F5E8E"/>
    <w:rsid w:val="002F6509"/>
    <w:rsid w:val="00303B06"/>
    <w:rsid w:val="0030502A"/>
    <w:rsid w:val="00307919"/>
    <w:rsid w:val="00311298"/>
    <w:rsid w:val="0031716D"/>
    <w:rsid w:val="00324E72"/>
    <w:rsid w:val="003269F1"/>
    <w:rsid w:val="003271D1"/>
    <w:rsid w:val="003329E1"/>
    <w:rsid w:val="00336FC1"/>
    <w:rsid w:val="003439F2"/>
    <w:rsid w:val="003455A4"/>
    <w:rsid w:val="00351839"/>
    <w:rsid w:val="00357AA1"/>
    <w:rsid w:val="00361F0E"/>
    <w:rsid w:val="0036412A"/>
    <w:rsid w:val="003652C6"/>
    <w:rsid w:val="003869DD"/>
    <w:rsid w:val="00393609"/>
    <w:rsid w:val="00394908"/>
    <w:rsid w:val="00396827"/>
    <w:rsid w:val="003A0EE8"/>
    <w:rsid w:val="003A1DEC"/>
    <w:rsid w:val="003A675E"/>
    <w:rsid w:val="003A7F5B"/>
    <w:rsid w:val="003B17BB"/>
    <w:rsid w:val="003B29F6"/>
    <w:rsid w:val="003B5639"/>
    <w:rsid w:val="003B6D37"/>
    <w:rsid w:val="003C1681"/>
    <w:rsid w:val="003C2618"/>
    <w:rsid w:val="003C388B"/>
    <w:rsid w:val="003C5D24"/>
    <w:rsid w:val="003D1760"/>
    <w:rsid w:val="003D1870"/>
    <w:rsid w:val="003D4764"/>
    <w:rsid w:val="003E25C6"/>
    <w:rsid w:val="003E792C"/>
    <w:rsid w:val="003F1E7E"/>
    <w:rsid w:val="003F22C5"/>
    <w:rsid w:val="003F2AF9"/>
    <w:rsid w:val="003F5409"/>
    <w:rsid w:val="004076A4"/>
    <w:rsid w:val="004135C4"/>
    <w:rsid w:val="00413F1A"/>
    <w:rsid w:val="00415B35"/>
    <w:rsid w:val="00415F94"/>
    <w:rsid w:val="0041691C"/>
    <w:rsid w:val="00420D24"/>
    <w:rsid w:val="00420F0E"/>
    <w:rsid w:val="00423453"/>
    <w:rsid w:val="00426F10"/>
    <w:rsid w:val="004308A8"/>
    <w:rsid w:val="004320FC"/>
    <w:rsid w:val="004436FF"/>
    <w:rsid w:val="00447705"/>
    <w:rsid w:val="00447838"/>
    <w:rsid w:val="00453CA6"/>
    <w:rsid w:val="00455339"/>
    <w:rsid w:val="00461F54"/>
    <w:rsid w:val="00462850"/>
    <w:rsid w:val="004659B5"/>
    <w:rsid w:val="00477F19"/>
    <w:rsid w:val="00481D4A"/>
    <w:rsid w:val="00483792"/>
    <w:rsid w:val="00484286"/>
    <w:rsid w:val="004858F4"/>
    <w:rsid w:val="004868AE"/>
    <w:rsid w:val="00490169"/>
    <w:rsid w:val="00490E3D"/>
    <w:rsid w:val="00491314"/>
    <w:rsid w:val="00491C79"/>
    <w:rsid w:val="00496293"/>
    <w:rsid w:val="004A5B54"/>
    <w:rsid w:val="004B62BD"/>
    <w:rsid w:val="004B63C7"/>
    <w:rsid w:val="004C4E43"/>
    <w:rsid w:val="004D096A"/>
    <w:rsid w:val="004D0E81"/>
    <w:rsid w:val="004D2087"/>
    <w:rsid w:val="004E0396"/>
    <w:rsid w:val="004E0B93"/>
    <w:rsid w:val="004E2B46"/>
    <w:rsid w:val="004E3371"/>
    <w:rsid w:val="004E7254"/>
    <w:rsid w:val="00500A25"/>
    <w:rsid w:val="00502DB8"/>
    <w:rsid w:val="00504035"/>
    <w:rsid w:val="00506F31"/>
    <w:rsid w:val="00513E9E"/>
    <w:rsid w:val="00516E3E"/>
    <w:rsid w:val="00517EB1"/>
    <w:rsid w:val="00524982"/>
    <w:rsid w:val="005273D1"/>
    <w:rsid w:val="00531384"/>
    <w:rsid w:val="005341F7"/>
    <w:rsid w:val="00537EF3"/>
    <w:rsid w:val="00543425"/>
    <w:rsid w:val="005537A1"/>
    <w:rsid w:val="005549E4"/>
    <w:rsid w:val="00561794"/>
    <w:rsid w:val="00572964"/>
    <w:rsid w:val="005763F0"/>
    <w:rsid w:val="0057748F"/>
    <w:rsid w:val="00580171"/>
    <w:rsid w:val="00583DEE"/>
    <w:rsid w:val="00590D41"/>
    <w:rsid w:val="00591BE5"/>
    <w:rsid w:val="00595075"/>
    <w:rsid w:val="00596B86"/>
    <w:rsid w:val="005A1D64"/>
    <w:rsid w:val="005A5061"/>
    <w:rsid w:val="005A7332"/>
    <w:rsid w:val="005B292B"/>
    <w:rsid w:val="005C2D67"/>
    <w:rsid w:val="005D72A9"/>
    <w:rsid w:val="005E28AB"/>
    <w:rsid w:val="005E2971"/>
    <w:rsid w:val="005F0F15"/>
    <w:rsid w:val="005F381F"/>
    <w:rsid w:val="005F57F6"/>
    <w:rsid w:val="00601FAC"/>
    <w:rsid w:val="006025E0"/>
    <w:rsid w:val="00602918"/>
    <w:rsid w:val="0060382D"/>
    <w:rsid w:val="006046F4"/>
    <w:rsid w:val="006100B1"/>
    <w:rsid w:val="00612B17"/>
    <w:rsid w:val="006130C2"/>
    <w:rsid w:val="00616104"/>
    <w:rsid w:val="0061711A"/>
    <w:rsid w:val="006173E5"/>
    <w:rsid w:val="006249E9"/>
    <w:rsid w:val="00626985"/>
    <w:rsid w:val="00626B24"/>
    <w:rsid w:val="006278C1"/>
    <w:rsid w:val="006313AC"/>
    <w:rsid w:val="0063174C"/>
    <w:rsid w:val="00633B16"/>
    <w:rsid w:val="0064002D"/>
    <w:rsid w:val="00640543"/>
    <w:rsid w:val="0064271C"/>
    <w:rsid w:val="00651E01"/>
    <w:rsid w:val="006525EA"/>
    <w:rsid w:val="00656830"/>
    <w:rsid w:val="00675074"/>
    <w:rsid w:val="00675175"/>
    <w:rsid w:val="00675A7B"/>
    <w:rsid w:val="00677804"/>
    <w:rsid w:val="006809BC"/>
    <w:rsid w:val="00683FFA"/>
    <w:rsid w:val="006917F0"/>
    <w:rsid w:val="00692BFD"/>
    <w:rsid w:val="00692F1F"/>
    <w:rsid w:val="006955B1"/>
    <w:rsid w:val="00695C48"/>
    <w:rsid w:val="006A0998"/>
    <w:rsid w:val="006A15EE"/>
    <w:rsid w:val="006A1D9C"/>
    <w:rsid w:val="006A48BF"/>
    <w:rsid w:val="006A5BA1"/>
    <w:rsid w:val="006B7824"/>
    <w:rsid w:val="006C1FD7"/>
    <w:rsid w:val="006C22E9"/>
    <w:rsid w:val="006D3029"/>
    <w:rsid w:val="006D54E2"/>
    <w:rsid w:val="006D5D94"/>
    <w:rsid w:val="006E1BA9"/>
    <w:rsid w:val="006E6467"/>
    <w:rsid w:val="006E6793"/>
    <w:rsid w:val="006F0AC8"/>
    <w:rsid w:val="007074F8"/>
    <w:rsid w:val="00707CCD"/>
    <w:rsid w:val="007131AA"/>
    <w:rsid w:val="0071347D"/>
    <w:rsid w:val="00713DBE"/>
    <w:rsid w:val="007164F3"/>
    <w:rsid w:val="00720A8A"/>
    <w:rsid w:val="00724CF4"/>
    <w:rsid w:val="00730346"/>
    <w:rsid w:val="007304E7"/>
    <w:rsid w:val="007319CB"/>
    <w:rsid w:val="00734379"/>
    <w:rsid w:val="007469A5"/>
    <w:rsid w:val="007549F9"/>
    <w:rsid w:val="00757B99"/>
    <w:rsid w:val="00761E04"/>
    <w:rsid w:val="00762B77"/>
    <w:rsid w:val="007658B1"/>
    <w:rsid w:val="007724FD"/>
    <w:rsid w:val="00774492"/>
    <w:rsid w:val="00774943"/>
    <w:rsid w:val="00775F06"/>
    <w:rsid w:val="007842D5"/>
    <w:rsid w:val="007868B8"/>
    <w:rsid w:val="00787507"/>
    <w:rsid w:val="00795564"/>
    <w:rsid w:val="007A4960"/>
    <w:rsid w:val="007B797B"/>
    <w:rsid w:val="007C501D"/>
    <w:rsid w:val="007D52FF"/>
    <w:rsid w:val="007D7E9F"/>
    <w:rsid w:val="007E09BD"/>
    <w:rsid w:val="007E47FD"/>
    <w:rsid w:val="007E5D93"/>
    <w:rsid w:val="007E7970"/>
    <w:rsid w:val="007E7DC4"/>
    <w:rsid w:val="007F19D3"/>
    <w:rsid w:val="007F3194"/>
    <w:rsid w:val="007F72A2"/>
    <w:rsid w:val="00805C58"/>
    <w:rsid w:val="008074B7"/>
    <w:rsid w:val="00821649"/>
    <w:rsid w:val="008221D0"/>
    <w:rsid w:val="0082382D"/>
    <w:rsid w:val="008255DF"/>
    <w:rsid w:val="00835F5B"/>
    <w:rsid w:val="00841E63"/>
    <w:rsid w:val="00845287"/>
    <w:rsid w:val="00867597"/>
    <w:rsid w:val="008932A6"/>
    <w:rsid w:val="008A0CE0"/>
    <w:rsid w:val="008A23BE"/>
    <w:rsid w:val="008A30D9"/>
    <w:rsid w:val="008A3734"/>
    <w:rsid w:val="008A6D53"/>
    <w:rsid w:val="008B3DAA"/>
    <w:rsid w:val="008C6056"/>
    <w:rsid w:val="008C6ED4"/>
    <w:rsid w:val="008D19FE"/>
    <w:rsid w:val="008D375E"/>
    <w:rsid w:val="008D4B4B"/>
    <w:rsid w:val="008D5513"/>
    <w:rsid w:val="008E0E4F"/>
    <w:rsid w:val="008E5C69"/>
    <w:rsid w:val="008E6B31"/>
    <w:rsid w:val="008E70BA"/>
    <w:rsid w:val="008E795D"/>
    <w:rsid w:val="008F02D3"/>
    <w:rsid w:val="008F21DE"/>
    <w:rsid w:val="008F65F0"/>
    <w:rsid w:val="008F6EAB"/>
    <w:rsid w:val="0090234D"/>
    <w:rsid w:val="00902621"/>
    <w:rsid w:val="00904BAD"/>
    <w:rsid w:val="00904E28"/>
    <w:rsid w:val="0091018F"/>
    <w:rsid w:val="009120AA"/>
    <w:rsid w:val="00912216"/>
    <w:rsid w:val="0091370C"/>
    <w:rsid w:val="0091409E"/>
    <w:rsid w:val="00915F3F"/>
    <w:rsid w:val="009225CB"/>
    <w:rsid w:val="00925A0D"/>
    <w:rsid w:val="0092740C"/>
    <w:rsid w:val="0094399E"/>
    <w:rsid w:val="009445F1"/>
    <w:rsid w:val="00950A22"/>
    <w:rsid w:val="00950AC0"/>
    <w:rsid w:val="009602A3"/>
    <w:rsid w:val="00962AE5"/>
    <w:rsid w:val="0096680E"/>
    <w:rsid w:val="00970B39"/>
    <w:rsid w:val="0097194F"/>
    <w:rsid w:val="00975489"/>
    <w:rsid w:val="0098273F"/>
    <w:rsid w:val="00984CAF"/>
    <w:rsid w:val="00986204"/>
    <w:rsid w:val="0098684F"/>
    <w:rsid w:val="009977BD"/>
    <w:rsid w:val="009A5B36"/>
    <w:rsid w:val="009A5BC2"/>
    <w:rsid w:val="009B1DB3"/>
    <w:rsid w:val="009B52BC"/>
    <w:rsid w:val="009B799B"/>
    <w:rsid w:val="009C10CC"/>
    <w:rsid w:val="009C66B3"/>
    <w:rsid w:val="009D62FF"/>
    <w:rsid w:val="009F17D4"/>
    <w:rsid w:val="009F5EBD"/>
    <w:rsid w:val="00A02364"/>
    <w:rsid w:val="00A05157"/>
    <w:rsid w:val="00A1268B"/>
    <w:rsid w:val="00A12CF2"/>
    <w:rsid w:val="00A1552F"/>
    <w:rsid w:val="00A1583A"/>
    <w:rsid w:val="00A2284A"/>
    <w:rsid w:val="00A25024"/>
    <w:rsid w:val="00A3177E"/>
    <w:rsid w:val="00A31B8A"/>
    <w:rsid w:val="00A32CDA"/>
    <w:rsid w:val="00A33E00"/>
    <w:rsid w:val="00A34E24"/>
    <w:rsid w:val="00A409EA"/>
    <w:rsid w:val="00A45944"/>
    <w:rsid w:val="00A51D0D"/>
    <w:rsid w:val="00A536BB"/>
    <w:rsid w:val="00A55BB8"/>
    <w:rsid w:val="00A60316"/>
    <w:rsid w:val="00A63A1A"/>
    <w:rsid w:val="00A8183D"/>
    <w:rsid w:val="00A81E65"/>
    <w:rsid w:val="00A827BC"/>
    <w:rsid w:val="00A843BF"/>
    <w:rsid w:val="00A8452A"/>
    <w:rsid w:val="00A8799B"/>
    <w:rsid w:val="00A91917"/>
    <w:rsid w:val="00A97100"/>
    <w:rsid w:val="00AA162F"/>
    <w:rsid w:val="00AA28DF"/>
    <w:rsid w:val="00AB1A78"/>
    <w:rsid w:val="00AB42B1"/>
    <w:rsid w:val="00AB5195"/>
    <w:rsid w:val="00AC0BFF"/>
    <w:rsid w:val="00AC2439"/>
    <w:rsid w:val="00AC69DB"/>
    <w:rsid w:val="00AC7F28"/>
    <w:rsid w:val="00AD23DC"/>
    <w:rsid w:val="00AD46AC"/>
    <w:rsid w:val="00AD7D2C"/>
    <w:rsid w:val="00AE409A"/>
    <w:rsid w:val="00AE629C"/>
    <w:rsid w:val="00AE63C2"/>
    <w:rsid w:val="00AE69A9"/>
    <w:rsid w:val="00AF29FD"/>
    <w:rsid w:val="00AF5BE5"/>
    <w:rsid w:val="00B00178"/>
    <w:rsid w:val="00B0401F"/>
    <w:rsid w:val="00B111DD"/>
    <w:rsid w:val="00B20346"/>
    <w:rsid w:val="00B204BA"/>
    <w:rsid w:val="00B248E3"/>
    <w:rsid w:val="00B26D8A"/>
    <w:rsid w:val="00B27C6E"/>
    <w:rsid w:val="00B32AA0"/>
    <w:rsid w:val="00B32CD9"/>
    <w:rsid w:val="00B35DAC"/>
    <w:rsid w:val="00B54AF5"/>
    <w:rsid w:val="00B55F9B"/>
    <w:rsid w:val="00B62C1E"/>
    <w:rsid w:val="00B63839"/>
    <w:rsid w:val="00B64F42"/>
    <w:rsid w:val="00B72CFA"/>
    <w:rsid w:val="00B74B2C"/>
    <w:rsid w:val="00B776AD"/>
    <w:rsid w:val="00B803B8"/>
    <w:rsid w:val="00B86CD6"/>
    <w:rsid w:val="00B92304"/>
    <w:rsid w:val="00B9265E"/>
    <w:rsid w:val="00B93F6E"/>
    <w:rsid w:val="00B958F1"/>
    <w:rsid w:val="00BA0236"/>
    <w:rsid w:val="00BA0ABB"/>
    <w:rsid w:val="00BA66EE"/>
    <w:rsid w:val="00BA6E7E"/>
    <w:rsid w:val="00BB1D8B"/>
    <w:rsid w:val="00BB2056"/>
    <w:rsid w:val="00BC3747"/>
    <w:rsid w:val="00BC533E"/>
    <w:rsid w:val="00BC60B5"/>
    <w:rsid w:val="00BC632A"/>
    <w:rsid w:val="00BD5405"/>
    <w:rsid w:val="00BD5872"/>
    <w:rsid w:val="00BD63DE"/>
    <w:rsid w:val="00BE29B1"/>
    <w:rsid w:val="00BE4273"/>
    <w:rsid w:val="00BE7599"/>
    <w:rsid w:val="00BF0021"/>
    <w:rsid w:val="00BF32A4"/>
    <w:rsid w:val="00C00396"/>
    <w:rsid w:val="00C0278A"/>
    <w:rsid w:val="00C03FB7"/>
    <w:rsid w:val="00C05BB4"/>
    <w:rsid w:val="00C15899"/>
    <w:rsid w:val="00C169E9"/>
    <w:rsid w:val="00C23EF8"/>
    <w:rsid w:val="00C24AA9"/>
    <w:rsid w:val="00C26D7E"/>
    <w:rsid w:val="00C3386F"/>
    <w:rsid w:val="00C3436E"/>
    <w:rsid w:val="00C35213"/>
    <w:rsid w:val="00C42C34"/>
    <w:rsid w:val="00C435CE"/>
    <w:rsid w:val="00C47C7C"/>
    <w:rsid w:val="00C52230"/>
    <w:rsid w:val="00C55BE8"/>
    <w:rsid w:val="00C56046"/>
    <w:rsid w:val="00C648E5"/>
    <w:rsid w:val="00C64D48"/>
    <w:rsid w:val="00C73858"/>
    <w:rsid w:val="00C8510D"/>
    <w:rsid w:val="00C85DCD"/>
    <w:rsid w:val="00C94F00"/>
    <w:rsid w:val="00CA1670"/>
    <w:rsid w:val="00CA373B"/>
    <w:rsid w:val="00CB380B"/>
    <w:rsid w:val="00CB48D8"/>
    <w:rsid w:val="00CC01C5"/>
    <w:rsid w:val="00CC7958"/>
    <w:rsid w:val="00CD3BCA"/>
    <w:rsid w:val="00CE0018"/>
    <w:rsid w:val="00CE284B"/>
    <w:rsid w:val="00CE4889"/>
    <w:rsid w:val="00CE55DD"/>
    <w:rsid w:val="00CE709A"/>
    <w:rsid w:val="00CE7124"/>
    <w:rsid w:val="00CE7335"/>
    <w:rsid w:val="00CF1335"/>
    <w:rsid w:val="00CF26F3"/>
    <w:rsid w:val="00CF533D"/>
    <w:rsid w:val="00D002C8"/>
    <w:rsid w:val="00D00F32"/>
    <w:rsid w:val="00D110E9"/>
    <w:rsid w:val="00D11A1F"/>
    <w:rsid w:val="00D1417C"/>
    <w:rsid w:val="00D17538"/>
    <w:rsid w:val="00D20173"/>
    <w:rsid w:val="00D20944"/>
    <w:rsid w:val="00D22370"/>
    <w:rsid w:val="00D23BC4"/>
    <w:rsid w:val="00D2463A"/>
    <w:rsid w:val="00D24E8D"/>
    <w:rsid w:val="00D30A1F"/>
    <w:rsid w:val="00D369FA"/>
    <w:rsid w:val="00D51270"/>
    <w:rsid w:val="00D515A0"/>
    <w:rsid w:val="00D524BD"/>
    <w:rsid w:val="00D52C07"/>
    <w:rsid w:val="00D53E64"/>
    <w:rsid w:val="00D60721"/>
    <w:rsid w:val="00D60A0A"/>
    <w:rsid w:val="00D6192E"/>
    <w:rsid w:val="00D678D0"/>
    <w:rsid w:val="00D74AF2"/>
    <w:rsid w:val="00D833F1"/>
    <w:rsid w:val="00D84683"/>
    <w:rsid w:val="00D85E11"/>
    <w:rsid w:val="00D91F1A"/>
    <w:rsid w:val="00DA0599"/>
    <w:rsid w:val="00DA214D"/>
    <w:rsid w:val="00DA2A82"/>
    <w:rsid w:val="00DA3169"/>
    <w:rsid w:val="00DA5347"/>
    <w:rsid w:val="00DA5FDB"/>
    <w:rsid w:val="00DB15EC"/>
    <w:rsid w:val="00DB297A"/>
    <w:rsid w:val="00DB2F91"/>
    <w:rsid w:val="00DB5828"/>
    <w:rsid w:val="00DC2D36"/>
    <w:rsid w:val="00DC4B1F"/>
    <w:rsid w:val="00DC6DFF"/>
    <w:rsid w:val="00DD088D"/>
    <w:rsid w:val="00DD1BB0"/>
    <w:rsid w:val="00DD4896"/>
    <w:rsid w:val="00DE3381"/>
    <w:rsid w:val="00DE791C"/>
    <w:rsid w:val="00E028F5"/>
    <w:rsid w:val="00E03937"/>
    <w:rsid w:val="00E060FB"/>
    <w:rsid w:val="00E15123"/>
    <w:rsid w:val="00E15305"/>
    <w:rsid w:val="00E208F8"/>
    <w:rsid w:val="00E24C6F"/>
    <w:rsid w:val="00E259FB"/>
    <w:rsid w:val="00E25BEB"/>
    <w:rsid w:val="00E30048"/>
    <w:rsid w:val="00E43407"/>
    <w:rsid w:val="00E437DC"/>
    <w:rsid w:val="00E439CB"/>
    <w:rsid w:val="00E46EB9"/>
    <w:rsid w:val="00E52082"/>
    <w:rsid w:val="00E55CD9"/>
    <w:rsid w:val="00E65BD6"/>
    <w:rsid w:val="00E67B84"/>
    <w:rsid w:val="00E7282B"/>
    <w:rsid w:val="00E762E1"/>
    <w:rsid w:val="00E76EFF"/>
    <w:rsid w:val="00E82291"/>
    <w:rsid w:val="00E830CF"/>
    <w:rsid w:val="00E85605"/>
    <w:rsid w:val="00E86CE5"/>
    <w:rsid w:val="00E95983"/>
    <w:rsid w:val="00E96F1B"/>
    <w:rsid w:val="00EA0B76"/>
    <w:rsid w:val="00EA13F0"/>
    <w:rsid w:val="00EA2BB1"/>
    <w:rsid w:val="00EA6D16"/>
    <w:rsid w:val="00EB37A2"/>
    <w:rsid w:val="00EB5BD4"/>
    <w:rsid w:val="00EC2E80"/>
    <w:rsid w:val="00EC343E"/>
    <w:rsid w:val="00EC63F2"/>
    <w:rsid w:val="00EC6D2E"/>
    <w:rsid w:val="00ED5421"/>
    <w:rsid w:val="00EE05DA"/>
    <w:rsid w:val="00EE5735"/>
    <w:rsid w:val="00EE788E"/>
    <w:rsid w:val="00EF5753"/>
    <w:rsid w:val="00F0049B"/>
    <w:rsid w:val="00F02B16"/>
    <w:rsid w:val="00F03BC9"/>
    <w:rsid w:val="00F1095A"/>
    <w:rsid w:val="00F13ED6"/>
    <w:rsid w:val="00F16FF2"/>
    <w:rsid w:val="00F20B4A"/>
    <w:rsid w:val="00F26D34"/>
    <w:rsid w:val="00F32C89"/>
    <w:rsid w:val="00F335F9"/>
    <w:rsid w:val="00F36D6B"/>
    <w:rsid w:val="00F4290E"/>
    <w:rsid w:val="00F42E27"/>
    <w:rsid w:val="00F435E9"/>
    <w:rsid w:val="00F436C5"/>
    <w:rsid w:val="00F45D98"/>
    <w:rsid w:val="00F4712B"/>
    <w:rsid w:val="00F52E3E"/>
    <w:rsid w:val="00F52F98"/>
    <w:rsid w:val="00F53CF7"/>
    <w:rsid w:val="00F64972"/>
    <w:rsid w:val="00F65CEC"/>
    <w:rsid w:val="00F713A4"/>
    <w:rsid w:val="00F72126"/>
    <w:rsid w:val="00F80076"/>
    <w:rsid w:val="00F81DEC"/>
    <w:rsid w:val="00F858C1"/>
    <w:rsid w:val="00F91F70"/>
    <w:rsid w:val="00F958CB"/>
    <w:rsid w:val="00F978A9"/>
    <w:rsid w:val="00FA3460"/>
    <w:rsid w:val="00FA4F1C"/>
    <w:rsid w:val="00FA6435"/>
    <w:rsid w:val="00FA7135"/>
    <w:rsid w:val="00FB66C9"/>
    <w:rsid w:val="00FC2108"/>
    <w:rsid w:val="00FC786B"/>
    <w:rsid w:val="00FD0DB1"/>
    <w:rsid w:val="00FD7F92"/>
    <w:rsid w:val="00FE101D"/>
    <w:rsid w:val="00FE4A1A"/>
    <w:rsid w:val="00FE685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ddd" strokecolor="#969696">
      <v:fill color="#ddd" type="tile"/>
      <v:stroke color="#969696"/>
      <v:shadow on="t" type="perspective" color="#c7dfd3" origin="-.5,-.5" offset="-26pt,-36pt" matrix="1.25,,,1.25"/>
    </o:shapedefaults>
    <o:shapelayout v:ext="edit">
      <o:idmap v:ext="edit" data="1"/>
    </o:shapelayout>
  </w:shapeDefaults>
  <w:decimalSymbol w:val=","/>
  <w:listSeparator w:val=";"/>
  <w15:docId w15:val="{CCA00A39-E14A-403A-A66C-B5A69A079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2230"/>
    <w:rPr>
      <w:sz w:val="24"/>
      <w:szCs w:val="24"/>
    </w:rPr>
  </w:style>
  <w:style w:type="paragraph" w:styleId="Titre1">
    <w:name w:val="heading 1"/>
    <w:basedOn w:val="Normal"/>
    <w:next w:val="Normal"/>
    <w:qFormat/>
    <w:rsid w:val="00FA6435"/>
    <w:pPr>
      <w:keepNext/>
      <w:outlineLvl w:val="0"/>
    </w:pPr>
    <w:rPr>
      <w:b/>
      <w:bCs/>
    </w:rPr>
  </w:style>
  <w:style w:type="paragraph" w:styleId="Titre2">
    <w:name w:val="heading 2"/>
    <w:basedOn w:val="Normal"/>
    <w:next w:val="Normal"/>
    <w:qFormat/>
    <w:rsid w:val="00FA6435"/>
    <w:pPr>
      <w:keepNext/>
      <w:jc w:val="center"/>
      <w:outlineLvl w:val="1"/>
    </w:pPr>
    <w:rPr>
      <w:b/>
      <w:bCs/>
      <w:sz w:val="22"/>
    </w:rPr>
  </w:style>
  <w:style w:type="paragraph" w:styleId="Titre3">
    <w:name w:val="heading 3"/>
    <w:basedOn w:val="Normal"/>
    <w:next w:val="Normal"/>
    <w:qFormat/>
    <w:rsid w:val="00FA6435"/>
    <w:pPr>
      <w:keepNext/>
      <w:jc w:val="center"/>
      <w:outlineLvl w:val="2"/>
    </w:pPr>
    <w:rPr>
      <w:b/>
      <w:bCs/>
      <w:sz w:val="28"/>
    </w:rPr>
  </w:style>
  <w:style w:type="paragraph" w:styleId="Titre4">
    <w:name w:val="heading 4"/>
    <w:basedOn w:val="Normal"/>
    <w:next w:val="Normal"/>
    <w:qFormat/>
    <w:rsid w:val="00FA6435"/>
    <w:pPr>
      <w:keepNext/>
      <w:outlineLvl w:val="3"/>
    </w:pPr>
    <w:rPr>
      <w:i/>
      <w:iCs/>
    </w:rPr>
  </w:style>
  <w:style w:type="paragraph" w:styleId="Titre5">
    <w:name w:val="heading 5"/>
    <w:basedOn w:val="Normal"/>
    <w:next w:val="Normal"/>
    <w:qFormat/>
    <w:rsid w:val="00FA6435"/>
    <w:pPr>
      <w:keepNext/>
      <w:jc w:val="both"/>
      <w:outlineLvl w:val="4"/>
    </w:pPr>
    <w:rPr>
      <w:b/>
      <w:bCs/>
    </w:rPr>
  </w:style>
  <w:style w:type="paragraph" w:styleId="Titre6">
    <w:name w:val="heading 6"/>
    <w:basedOn w:val="Normal"/>
    <w:next w:val="Normal"/>
    <w:qFormat/>
    <w:rsid w:val="00FA6435"/>
    <w:pPr>
      <w:keepNext/>
      <w:jc w:val="both"/>
      <w:outlineLvl w:val="5"/>
    </w:pPr>
    <w:rPr>
      <w:b/>
      <w:bCs/>
      <w:sz w:val="22"/>
    </w:rPr>
  </w:style>
  <w:style w:type="paragraph" w:styleId="Titre7">
    <w:name w:val="heading 7"/>
    <w:basedOn w:val="Normal"/>
    <w:next w:val="Normal"/>
    <w:qFormat/>
    <w:rsid w:val="00FA6435"/>
    <w:pPr>
      <w:keepNext/>
      <w:spacing w:after="100" w:afterAutospacing="1"/>
      <w:jc w:val="both"/>
      <w:outlineLvl w:val="6"/>
    </w:pPr>
    <w:rPr>
      <w:b/>
      <w:bCs/>
      <w:sz w:val="28"/>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FA6435"/>
    <w:pPr>
      <w:tabs>
        <w:tab w:val="center" w:pos="4536"/>
        <w:tab w:val="right" w:pos="9072"/>
      </w:tabs>
    </w:pPr>
  </w:style>
  <w:style w:type="paragraph" w:styleId="Pieddepage">
    <w:name w:val="footer"/>
    <w:basedOn w:val="Normal"/>
    <w:semiHidden/>
    <w:rsid w:val="00FA6435"/>
    <w:pPr>
      <w:tabs>
        <w:tab w:val="center" w:pos="4536"/>
        <w:tab w:val="right" w:pos="9072"/>
      </w:tabs>
    </w:pPr>
  </w:style>
  <w:style w:type="paragraph" w:styleId="Corpsdetexte">
    <w:name w:val="Body Text"/>
    <w:basedOn w:val="Normal"/>
    <w:semiHidden/>
    <w:rsid w:val="00FA6435"/>
    <w:pPr>
      <w:jc w:val="both"/>
    </w:pPr>
  </w:style>
  <w:style w:type="paragraph" w:styleId="Corpsdetexte2">
    <w:name w:val="Body Text 2"/>
    <w:basedOn w:val="Normal"/>
    <w:semiHidden/>
    <w:rsid w:val="00FA6435"/>
    <w:pPr>
      <w:tabs>
        <w:tab w:val="left" w:pos="0"/>
        <w:tab w:val="left" w:pos="720"/>
        <w:tab w:val="left" w:pos="1440"/>
        <w:tab w:val="left" w:pos="2160"/>
        <w:tab w:val="left" w:pos="2880"/>
        <w:tab w:val="left" w:pos="3600"/>
        <w:tab w:val="left" w:pos="4320"/>
      </w:tabs>
      <w:autoSpaceDE w:val="0"/>
      <w:autoSpaceDN w:val="0"/>
      <w:adjustRightInd w:val="0"/>
      <w:spacing w:line="240" w:lineRule="atLeast"/>
      <w:jc w:val="center"/>
    </w:pPr>
    <w:rPr>
      <w:sz w:val="18"/>
    </w:rPr>
  </w:style>
  <w:style w:type="paragraph" w:styleId="Corpsdetexte3">
    <w:name w:val="Body Text 3"/>
    <w:basedOn w:val="Normal"/>
    <w:semiHidden/>
    <w:rsid w:val="00FA6435"/>
    <w:pPr>
      <w:autoSpaceDE w:val="0"/>
      <w:autoSpaceDN w:val="0"/>
      <w:adjustRightInd w:val="0"/>
      <w:jc w:val="both"/>
    </w:pPr>
    <w:rPr>
      <w:color w:val="000000"/>
      <w:szCs w:val="20"/>
    </w:rPr>
  </w:style>
  <w:style w:type="paragraph" w:styleId="Normalcentr">
    <w:name w:val="Block Text"/>
    <w:basedOn w:val="Normal"/>
    <w:semiHidden/>
    <w:rsid w:val="00FA6435"/>
    <w:pPr>
      <w:ind w:left="360" w:right="-151"/>
    </w:pPr>
    <w:rPr>
      <w:i/>
      <w:iCs/>
    </w:rPr>
  </w:style>
  <w:style w:type="character" w:styleId="Lienhypertexte">
    <w:name w:val="Hyperlink"/>
    <w:basedOn w:val="Policepardfaut"/>
    <w:semiHidden/>
    <w:rsid w:val="00FA6435"/>
    <w:rPr>
      <w:color w:val="0000FF"/>
      <w:u w:val="single"/>
    </w:rPr>
  </w:style>
  <w:style w:type="character" w:styleId="Lienhypertextesuivivisit">
    <w:name w:val="FollowedHyperlink"/>
    <w:basedOn w:val="Policepardfaut"/>
    <w:semiHidden/>
    <w:rsid w:val="00FA6435"/>
    <w:rPr>
      <w:color w:val="800080"/>
      <w:u w:val="single"/>
    </w:rPr>
  </w:style>
  <w:style w:type="paragraph" w:styleId="Retraitcorpsdetexte">
    <w:name w:val="Body Text Indent"/>
    <w:basedOn w:val="Normal"/>
    <w:semiHidden/>
    <w:rsid w:val="00FA6435"/>
    <w:pPr>
      <w:autoSpaceDE w:val="0"/>
      <w:autoSpaceDN w:val="0"/>
      <w:adjustRightInd w:val="0"/>
      <w:ind w:left="360"/>
      <w:jc w:val="both"/>
    </w:pPr>
    <w:rPr>
      <w:szCs w:val="32"/>
    </w:rPr>
  </w:style>
  <w:style w:type="paragraph" w:customStyle="1" w:styleId="spip">
    <w:name w:val="spip"/>
    <w:basedOn w:val="Normal"/>
    <w:rsid w:val="00FA6435"/>
    <w:pPr>
      <w:spacing w:before="100" w:beforeAutospacing="1" w:after="100" w:afterAutospacing="1"/>
    </w:pPr>
    <w:rPr>
      <w:rFonts w:ascii="Arial Unicode MS" w:eastAsia="Arial Unicode MS" w:hAnsi="Arial Unicode MS" w:cs="Arial Unicode MS"/>
    </w:rPr>
  </w:style>
  <w:style w:type="character" w:styleId="Numrodepage">
    <w:name w:val="page number"/>
    <w:basedOn w:val="Policepardfaut"/>
    <w:semiHidden/>
    <w:rsid w:val="00FA6435"/>
  </w:style>
  <w:style w:type="paragraph" w:styleId="Retraitcorpsdetexte2">
    <w:name w:val="Body Text Indent 2"/>
    <w:basedOn w:val="Normal"/>
    <w:semiHidden/>
    <w:rsid w:val="00FA6435"/>
    <w:pPr>
      <w:autoSpaceDE w:val="0"/>
      <w:autoSpaceDN w:val="0"/>
      <w:adjustRightInd w:val="0"/>
      <w:ind w:left="360"/>
      <w:jc w:val="both"/>
    </w:pPr>
    <w:rPr>
      <w:color w:val="000000"/>
      <w:sz w:val="22"/>
      <w:szCs w:val="20"/>
    </w:rPr>
  </w:style>
  <w:style w:type="paragraph" w:styleId="Titre">
    <w:name w:val="Title"/>
    <w:basedOn w:val="Normal"/>
    <w:qFormat/>
    <w:rsid w:val="00FA6435"/>
    <w:pPr>
      <w:jc w:val="center"/>
    </w:pPr>
    <w:rPr>
      <w:b/>
      <w:bCs/>
      <w:sz w:val="28"/>
    </w:rPr>
  </w:style>
  <w:style w:type="paragraph" w:styleId="Listepuces">
    <w:name w:val="List Bullet"/>
    <w:basedOn w:val="Normal"/>
    <w:autoRedefine/>
    <w:semiHidden/>
    <w:rsid w:val="00FA6435"/>
    <w:pPr>
      <w:numPr>
        <w:numId w:val="1"/>
      </w:numPr>
    </w:pPr>
  </w:style>
  <w:style w:type="paragraph" w:styleId="Lgende">
    <w:name w:val="caption"/>
    <w:basedOn w:val="Normal"/>
    <w:next w:val="Normal"/>
    <w:qFormat/>
    <w:rsid w:val="00FA6435"/>
    <w:pPr>
      <w:jc w:val="center"/>
    </w:pPr>
    <w:rPr>
      <w:rFonts w:ascii="EDF" w:hAnsi="EDF"/>
      <w:sz w:val="40"/>
      <w:szCs w:val="32"/>
      <w:bdr w:val="single" w:sz="4" w:space="0" w:color="auto"/>
    </w:rPr>
  </w:style>
  <w:style w:type="paragraph" w:styleId="Paragraphedeliste">
    <w:name w:val="List Paragraph"/>
    <w:basedOn w:val="Normal"/>
    <w:uiPriority w:val="34"/>
    <w:qFormat/>
    <w:rsid w:val="00FA6435"/>
    <w:pPr>
      <w:spacing w:after="200" w:line="276" w:lineRule="auto"/>
      <w:ind w:left="720"/>
    </w:pPr>
    <w:rPr>
      <w:rFonts w:ascii="Calibri" w:eastAsia="Calibri" w:hAnsi="Calibri"/>
      <w:sz w:val="22"/>
      <w:szCs w:val="22"/>
      <w:lang w:eastAsia="en-US"/>
    </w:rPr>
  </w:style>
  <w:style w:type="paragraph" w:customStyle="1" w:styleId="xl25">
    <w:name w:val="xl25"/>
    <w:basedOn w:val="Normal"/>
    <w:rsid w:val="00FA6435"/>
    <w:pP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Normal"/>
    <w:rsid w:val="00FA6435"/>
    <w:pPr>
      <w:spacing w:before="100" w:beforeAutospacing="1" w:after="100" w:afterAutospacing="1"/>
      <w:jc w:val="center"/>
    </w:pPr>
    <w:rPr>
      <w:rFonts w:ascii="Arial Unicode MS" w:eastAsia="Arial Unicode MS" w:hAnsi="Arial Unicode MS" w:cs="Arial Unicode MS"/>
    </w:rPr>
  </w:style>
  <w:style w:type="paragraph" w:styleId="Textedebulles">
    <w:name w:val="Balloon Text"/>
    <w:basedOn w:val="Normal"/>
    <w:semiHidden/>
    <w:unhideWhenUsed/>
    <w:rsid w:val="00FA6435"/>
    <w:rPr>
      <w:rFonts w:ascii="Tahoma" w:hAnsi="Tahoma" w:cs="Tahoma"/>
      <w:sz w:val="16"/>
      <w:szCs w:val="16"/>
    </w:rPr>
  </w:style>
  <w:style w:type="character" w:customStyle="1" w:styleId="TextedebullesCar">
    <w:name w:val="Texte de bulles Car"/>
    <w:basedOn w:val="Policepardfaut"/>
    <w:semiHidden/>
    <w:rsid w:val="00FA6435"/>
    <w:rPr>
      <w:rFonts w:ascii="Tahoma" w:hAnsi="Tahoma" w:cs="Tahoma"/>
      <w:sz w:val="16"/>
      <w:szCs w:val="16"/>
    </w:rPr>
  </w:style>
  <w:style w:type="paragraph" w:styleId="Rvision">
    <w:name w:val="Revision"/>
    <w:hidden/>
    <w:semiHidden/>
    <w:rsid w:val="00FA6435"/>
    <w:rPr>
      <w:sz w:val="24"/>
      <w:szCs w:val="24"/>
    </w:rPr>
  </w:style>
  <w:style w:type="paragraph" w:customStyle="1" w:styleId="Default">
    <w:name w:val="Default"/>
    <w:rsid w:val="00FA6435"/>
    <w:pPr>
      <w:widowControl w:val="0"/>
      <w:autoSpaceDE w:val="0"/>
      <w:autoSpaceDN w:val="0"/>
      <w:adjustRightInd w:val="0"/>
    </w:pPr>
    <w:rPr>
      <w:rFonts w:ascii="Arial" w:hAnsi="Arial" w:cs="Arial"/>
      <w:color w:val="000000"/>
      <w:sz w:val="24"/>
      <w:szCs w:val="24"/>
    </w:rPr>
  </w:style>
  <w:style w:type="paragraph" w:styleId="Retraitcorpsdetexte3">
    <w:name w:val="Body Text Indent 3"/>
    <w:basedOn w:val="Normal"/>
    <w:semiHidden/>
    <w:rsid w:val="00FA6435"/>
    <w:pPr>
      <w:spacing w:after="100" w:afterAutospacing="1"/>
      <w:ind w:left="-180"/>
      <w:jc w:val="both"/>
    </w:pPr>
    <w:rPr>
      <w:szCs w:val="32"/>
    </w:rPr>
  </w:style>
  <w:style w:type="table" w:styleId="Grilledutableau">
    <w:name w:val="Table Grid"/>
    <w:basedOn w:val="TableauNormal"/>
    <w:uiPriority w:val="59"/>
    <w:rsid w:val="0031129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tedebasdepage">
    <w:name w:val="footnote text"/>
    <w:basedOn w:val="Normal"/>
    <w:link w:val="NotedebasdepageCar"/>
    <w:uiPriority w:val="99"/>
    <w:semiHidden/>
    <w:unhideWhenUsed/>
    <w:rsid w:val="00DA2A82"/>
    <w:rPr>
      <w:sz w:val="20"/>
      <w:szCs w:val="20"/>
    </w:rPr>
  </w:style>
  <w:style w:type="character" w:customStyle="1" w:styleId="NotedebasdepageCar">
    <w:name w:val="Note de bas de page Car"/>
    <w:basedOn w:val="Policepardfaut"/>
    <w:link w:val="Notedebasdepage"/>
    <w:uiPriority w:val="99"/>
    <w:semiHidden/>
    <w:rsid w:val="00DA2A82"/>
  </w:style>
  <w:style w:type="character" w:styleId="Appelnotedebasdep">
    <w:name w:val="footnote reference"/>
    <w:basedOn w:val="Policepardfaut"/>
    <w:uiPriority w:val="99"/>
    <w:semiHidden/>
    <w:unhideWhenUsed/>
    <w:rsid w:val="00DA2A82"/>
    <w:rPr>
      <w:vertAlign w:val="superscript"/>
    </w:rPr>
  </w:style>
  <w:style w:type="character" w:customStyle="1" w:styleId="apple-converted-space">
    <w:name w:val="apple-converted-space"/>
    <w:basedOn w:val="Policepardfaut"/>
    <w:rsid w:val="008A30D9"/>
  </w:style>
  <w:style w:type="character" w:styleId="lev">
    <w:name w:val="Strong"/>
    <w:basedOn w:val="Policepardfaut"/>
    <w:uiPriority w:val="22"/>
    <w:qFormat/>
    <w:rsid w:val="00950A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45619">
      <w:bodyDiv w:val="1"/>
      <w:marLeft w:val="0"/>
      <w:marRight w:val="0"/>
      <w:marTop w:val="0"/>
      <w:marBottom w:val="0"/>
      <w:divBdr>
        <w:top w:val="none" w:sz="0" w:space="0" w:color="auto"/>
        <w:left w:val="none" w:sz="0" w:space="0" w:color="auto"/>
        <w:bottom w:val="none" w:sz="0" w:space="0" w:color="auto"/>
        <w:right w:val="none" w:sz="0" w:space="0" w:color="auto"/>
      </w:divBdr>
    </w:div>
    <w:div w:id="866866733">
      <w:bodyDiv w:val="1"/>
      <w:marLeft w:val="0"/>
      <w:marRight w:val="0"/>
      <w:marTop w:val="0"/>
      <w:marBottom w:val="0"/>
      <w:divBdr>
        <w:top w:val="none" w:sz="0" w:space="0" w:color="auto"/>
        <w:left w:val="none" w:sz="0" w:space="0" w:color="auto"/>
        <w:bottom w:val="none" w:sz="0" w:space="0" w:color="auto"/>
        <w:right w:val="none" w:sz="0" w:space="0" w:color="auto"/>
      </w:divBdr>
    </w:div>
    <w:div w:id="2123331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8.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76EDDC-37A3-4E7D-ABE9-1D226A945DE6}">
  <ds:schemaRefs>
    <ds:schemaRef ds:uri="http://schemas.openxmlformats.org/officeDocument/2006/bibliography"/>
  </ds:schemaRefs>
</ds:datastoreItem>
</file>

<file path=customXml/itemProps2.xml><?xml version="1.0" encoding="utf-8"?>
<ds:datastoreItem xmlns:ds="http://schemas.openxmlformats.org/officeDocument/2006/customXml" ds:itemID="{96EFB9AF-58FE-443D-9014-41A19918A8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666</Words>
  <Characters>3663</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EDF - Gaz de France</Company>
  <LinksUpToDate>false</LinksUpToDate>
  <CharactersWithSpaces>4321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VIDAL-SER</dc:creator>
  <cp:lastModifiedBy>B45945</cp:lastModifiedBy>
  <cp:revision>2</cp:revision>
  <cp:lastPrinted>2015-04-08T14:49:00Z</cp:lastPrinted>
  <dcterms:created xsi:type="dcterms:W3CDTF">2016-03-08T14:50:00Z</dcterms:created>
  <dcterms:modified xsi:type="dcterms:W3CDTF">2016-03-08T14:50:00Z</dcterms:modified>
</cp:coreProperties>
</file>