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6B" w:rsidRPr="004A5B54" w:rsidRDefault="00324E72" w:rsidP="00172A8B">
      <w:pPr>
        <w:framePr w:w="1432" w:hSpace="180" w:wrap="auto" w:vAnchor="text" w:hAnchor="page" w:x="721" w:y="-2692"/>
        <w:jc w:val="center"/>
        <w:rPr>
          <w:noProof/>
          <w:sz w:val="22"/>
        </w:rPr>
      </w:pPr>
      <w:r>
        <w:rPr>
          <w:noProof/>
          <w:sz w:val="22"/>
        </w:rPr>
        <w:drawing>
          <wp:inline distT="0" distB="0" distL="0" distR="0">
            <wp:extent cx="774700" cy="114427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4700" cy="1144270"/>
                    </a:xfrm>
                    <a:prstGeom prst="rect">
                      <a:avLst/>
                    </a:prstGeom>
                    <a:noFill/>
                    <a:ln w="9525">
                      <a:noFill/>
                      <a:miter lim="800000"/>
                      <a:headEnd/>
                      <a:tailEnd/>
                    </a:ln>
                  </pic:spPr>
                </pic:pic>
              </a:graphicData>
            </a:graphic>
          </wp:inline>
        </w:drawing>
      </w:r>
      <w:r w:rsidR="006525EA" w:rsidRPr="006525EA">
        <w:rPr>
          <w:sz w:val="22"/>
        </w:rPr>
        <w:t xml:space="preserve"> </w:t>
      </w:r>
      <w:r w:rsidR="006525EA" w:rsidRPr="006525EA">
        <w:rPr>
          <w:sz w:val="22"/>
        </w:rPr>
        <w:br/>
      </w:r>
      <w:r w:rsidR="00033D6B" w:rsidRPr="004A5B54">
        <w:rPr>
          <w:sz w:val="22"/>
        </w:rPr>
        <w:t>EDF R&amp;D</w:t>
      </w:r>
    </w:p>
    <w:p w:rsidR="00033D6B" w:rsidRPr="00F13ED6" w:rsidRDefault="00F230A5" w:rsidP="00172A8B">
      <w:pPr>
        <w:pStyle w:val="En-tte"/>
        <w:tabs>
          <w:tab w:val="clear" w:pos="4536"/>
          <w:tab w:val="clear" w:pos="9072"/>
        </w:tabs>
        <w:jc w:val="both"/>
        <w:rPr>
          <w:sz w:val="22"/>
          <w:szCs w:val="22"/>
        </w:rPr>
        <w:sectPr w:rsidR="00033D6B" w:rsidRPr="00F13ED6" w:rsidSect="007549F9">
          <w:headerReference w:type="default" r:id="rId10"/>
          <w:footerReference w:type="default" r:id="rId11"/>
          <w:headerReference w:type="first" r:id="rId12"/>
          <w:footerReference w:type="first" r:id="rId13"/>
          <w:type w:val="continuous"/>
          <w:pgSz w:w="12240" w:h="15840" w:code="122"/>
          <w:pgMar w:top="2947" w:right="1077" w:bottom="1418" w:left="1077" w:header="540" w:footer="454" w:gutter="0"/>
          <w:cols w:space="720"/>
          <w:noEndnote/>
          <w:titlePg/>
        </w:sectPr>
      </w:pPr>
      <w:r>
        <w:rPr>
          <w:noProof/>
          <w:sz w:val="22"/>
          <w:szCs w:val="22"/>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407.75pt;margin-top:-141.35pt;width:146.7pt;height:140.4pt;z-index:251657728;mso-width-relative:margin;mso-height-relative:margin" strokecolor="white">
            <v:textbox>
              <w:txbxContent>
                <w:p w:rsidR="0021407A" w:rsidRDefault="0021407A" w:rsidP="001D38FE">
                  <w:pPr>
                    <w:pStyle w:val="Titre1"/>
                    <w:ind w:left="-142" w:right="-69"/>
                    <w:jc w:val="center"/>
                  </w:pPr>
                  <w:r>
                    <w:rPr>
                      <w:noProof/>
                    </w:rPr>
                    <w:drawing>
                      <wp:inline distT="0" distB="0" distL="0" distR="0">
                        <wp:extent cx="1663700" cy="994410"/>
                        <wp:effectExtent l="19050" t="0" r="0" b="0"/>
                        <wp:docPr id="3" name="Image 3" descr="Logo National UFICT sans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ational UFICT sans ombre"/>
                                <pic:cNvPicPr>
                                  <a:picLocks noChangeAspect="1" noChangeArrowheads="1"/>
                                </pic:cNvPicPr>
                              </pic:nvPicPr>
                              <pic:blipFill>
                                <a:blip r:embed="rId14"/>
                                <a:srcRect/>
                                <a:stretch>
                                  <a:fillRect/>
                                </a:stretch>
                              </pic:blipFill>
                              <pic:spPr bwMode="auto">
                                <a:xfrm>
                                  <a:off x="0" y="0"/>
                                  <a:ext cx="1663700" cy="994410"/>
                                </a:xfrm>
                                <a:prstGeom prst="rect">
                                  <a:avLst/>
                                </a:prstGeom>
                                <a:noFill/>
                                <a:ln w="9525">
                                  <a:noFill/>
                                  <a:miter lim="800000"/>
                                  <a:headEnd/>
                                  <a:tailEnd/>
                                </a:ln>
                              </pic:spPr>
                            </pic:pic>
                          </a:graphicData>
                        </a:graphic>
                      </wp:inline>
                    </w:drawing>
                  </w:r>
                </w:p>
                <w:p w:rsidR="0021407A" w:rsidRDefault="0021407A" w:rsidP="001D38FE">
                  <w:pPr>
                    <w:pStyle w:val="Titre1"/>
                    <w:ind w:left="-142" w:right="-69"/>
                    <w:jc w:val="center"/>
                    <w:rPr>
                      <w:i/>
                      <w:color w:val="00B0F0"/>
                    </w:rPr>
                  </w:pPr>
                  <w:r>
                    <w:br/>
                    <w:t xml:space="preserve">Comité d'Établissement </w:t>
                  </w:r>
                </w:p>
                <w:p w:rsidR="0021407A" w:rsidRPr="00612B17" w:rsidRDefault="0021407A" w:rsidP="001D38FE">
                  <w:pPr>
                    <w:pStyle w:val="Titre1"/>
                    <w:ind w:left="-142" w:right="-69"/>
                    <w:jc w:val="center"/>
                    <w:rPr>
                      <w:color w:val="000000"/>
                    </w:rPr>
                  </w:pPr>
                  <w:r>
                    <w:rPr>
                      <w:i/>
                      <w:color w:val="000000"/>
                    </w:rPr>
                    <w:t xml:space="preserve">08/07/2014 </w:t>
                  </w:r>
                  <w:r>
                    <w:rPr>
                      <w:i/>
                      <w:color w:val="000000"/>
                    </w:rPr>
                    <w:br/>
                    <w:t>Renardières</w:t>
                  </w:r>
                </w:p>
              </w:txbxContent>
            </v:textbox>
          </v:shape>
        </w:pict>
      </w:r>
    </w:p>
    <w:p w:rsidR="00590D41" w:rsidRPr="00132398" w:rsidRDefault="00DC4B1F" w:rsidP="00C24AA9">
      <w:pPr>
        <w:tabs>
          <w:tab w:val="left" w:pos="993"/>
        </w:tabs>
        <w:spacing w:after="120"/>
        <w:ind w:left="57"/>
        <w:jc w:val="both"/>
        <w:rPr>
          <w:b/>
          <w:bCs/>
          <w:u w:val="single"/>
        </w:rPr>
      </w:pPr>
      <w:r w:rsidRPr="00132398">
        <w:rPr>
          <w:b/>
          <w:bCs/>
          <w:u w:val="single"/>
        </w:rPr>
        <w:lastRenderedPageBreak/>
        <w:sym w:font="Wingdings" w:char="F040"/>
      </w:r>
      <w:r w:rsidRPr="00132398">
        <w:rPr>
          <w:b/>
          <w:bCs/>
          <w:u w:val="single"/>
        </w:rPr>
        <w:t xml:space="preserve"> </w:t>
      </w:r>
      <w:r w:rsidR="004D0E81">
        <w:rPr>
          <w:b/>
          <w:bCs/>
          <w:u w:val="single"/>
        </w:rPr>
        <w:t>Déclaration du secrétaire</w:t>
      </w:r>
    </w:p>
    <w:p w:rsidR="004D0E81" w:rsidRDefault="004D0E81" w:rsidP="00FD0DB1">
      <w:pPr>
        <w:spacing w:after="120"/>
        <w:ind w:left="57"/>
        <w:jc w:val="both"/>
        <w:rPr>
          <w:color w:val="000000"/>
          <w:sz w:val="22"/>
          <w:szCs w:val="22"/>
        </w:rPr>
      </w:pPr>
      <w:r>
        <w:rPr>
          <w:color w:val="000000"/>
          <w:sz w:val="22"/>
          <w:szCs w:val="22"/>
        </w:rPr>
        <w:t xml:space="preserve">2 propositions d’expertise ont été votées à l’unanimité : </w:t>
      </w:r>
    </w:p>
    <w:p w:rsidR="004D0E81" w:rsidRPr="006A48BF" w:rsidRDefault="004D0E81" w:rsidP="00303B06">
      <w:pPr>
        <w:pStyle w:val="Paragraphedeliste"/>
        <w:numPr>
          <w:ilvl w:val="0"/>
          <w:numId w:val="50"/>
        </w:numPr>
        <w:spacing w:after="0" w:line="240" w:lineRule="auto"/>
        <w:ind w:left="414" w:hanging="357"/>
        <w:jc w:val="both"/>
        <w:rPr>
          <w:rFonts w:ascii="Times New Roman" w:hAnsi="Times New Roman"/>
          <w:color w:val="000000"/>
        </w:rPr>
      </w:pPr>
      <w:r w:rsidRPr="006A48BF">
        <w:rPr>
          <w:rFonts w:ascii="Times New Roman" w:hAnsi="Times New Roman"/>
          <w:b/>
          <w:color w:val="000000"/>
        </w:rPr>
        <w:t>Commission EGA-PRO</w:t>
      </w:r>
      <w:r w:rsidRPr="006A48BF">
        <w:rPr>
          <w:rFonts w:ascii="Times New Roman" w:hAnsi="Times New Roman"/>
          <w:color w:val="000000"/>
        </w:rPr>
        <w:t> : bilan qualitatif des accord</w:t>
      </w:r>
      <w:r w:rsidR="004E2B46" w:rsidRPr="006A48BF">
        <w:rPr>
          <w:rFonts w:ascii="Times New Roman" w:hAnsi="Times New Roman"/>
          <w:color w:val="000000"/>
        </w:rPr>
        <w:t>s</w:t>
      </w:r>
      <w:r w:rsidRPr="006A48BF">
        <w:rPr>
          <w:rFonts w:ascii="Times New Roman" w:hAnsi="Times New Roman"/>
          <w:color w:val="000000"/>
        </w:rPr>
        <w:t xml:space="preserve"> sur l’égalité professionnelle mis en œuvre depuis 2004</w:t>
      </w:r>
      <w:r w:rsidR="006A48BF">
        <w:rPr>
          <w:rFonts w:ascii="Times New Roman" w:hAnsi="Times New Roman"/>
          <w:color w:val="000000"/>
        </w:rPr>
        <w:t>.</w:t>
      </w:r>
    </w:p>
    <w:p w:rsidR="004D0E81" w:rsidRPr="006A48BF" w:rsidRDefault="004D0E81" w:rsidP="0098273F">
      <w:pPr>
        <w:pStyle w:val="Paragraphedeliste"/>
        <w:numPr>
          <w:ilvl w:val="0"/>
          <w:numId w:val="50"/>
        </w:numPr>
        <w:spacing w:after="120" w:line="240" w:lineRule="auto"/>
        <w:ind w:left="414" w:hanging="357"/>
        <w:jc w:val="both"/>
        <w:rPr>
          <w:rFonts w:ascii="Times New Roman" w:hAnsi="Times New Roman"/>
          <w:color w:val="000000"/>
        </w:rPr>
      </w:pPr>
      <w:r w:rsidRPr="006A48BF">
        <w:rPr>
          <w:rFonts w:ascii="Times New Roman" w:hAnsi="Times New Roman"/>
          <w:b/>
          <w:color w:val="000000"/>
        </w:rPr>
        <w:t>Commission santé et organisation du travail </w:t>
      </w:r>
      <w:r w:rsidRPr="006A48BF">
        <w:rPr>
          <w:rFonts w:ascii="Times New Roman" w:hAnsi="Times New Roman"/>
          <w:color w:val="000000"/>
        </w:rPr>
        <w:t>: au cours de l’enquête sur l’effet de l’organisation de la R&amp;D sur le vécu de</w:t>
      </w:r>
      <w:r w:rsidR="00D515A0">
        <w:rPr>
          <w:rFonts w:ascii="Times New Roman" w:hAnsi="Times New Roman"/>
          <w:color w:val="000000"/>
        </w:rPr>
        <w:t>s</w:t>
      </w:r>
      <w:r w:rsidRPr="006A48BF">
        <w:rPr>
          <w:rFonts w:ascii="Times New Roman" w:hAnsi="Times New Roman"/>
          <w:color w:val="000000"/>
        </w:rPr>
        <w:t xml:space="preserve"> agents et la qualité du travail, des dysfonctionnements ont été mis à jour. Un travail complémentaire est proposé pour préciser ces </w:t>
      </w:r>
      <w:r w:rsidR="004E2B46" w:rsidRPr="006A48BF">
        <w:rPr>
          <w:rFonts w:ascii="Times New Roman" w:hAnsi="Times New Roman"/>
          <w:color w:val="000000"/>
        </w:rPr>
        <w:t>dysfonctionnements</w:t>
      </w:r>
      <w:r w:rsidRPr="006A48BF">
        <w:rPr>
          <w:rFonts w:ascii="Times New Roman" w:hAnsi="Times New Roman"/>
          <w:color w:val="000000"/>
        </w:rPr>
        <w:t>.</w:t>
      </w:r>
    </w:p>
    <w:p w:rsidR="004E2B46" w:rsidRPr="004E2B46" w:rsidRDefault="004E2B46" w:rsidP="004E2B46">
      <w:pPr>
        <w:tabs>
          <w:tab w:val="left" w:pos="993"/>
        </w:tabs>
        <w:spacing w:after="120"/>
        <w:ind w:left="57"/>
        <w:jc w:val="both"/>
        <w:rPr>
          <w:b/>
          <w:bCs/>
          <w:u w:val="single"/>
        </w:rPr>
      </w:pPr>
      <w:r w:rsidRPr="00132398">
        <w:sym w:font="Wingdings" w:char="F040"/>
      </w:r>
      <w:r w:rsidRPr="004E2B46">
        <w:rPr>
          <w:b/>
          <w:bCs/>
          <w:u w:val="single"/>
        </w:rPr>
        <w:t xml:space="preserve"> </w:t>
      </w:r>
      <w:r w:rsidR="006A48BF">
        <w:rPr>
          <w:b/>
          <w:bCs/>
          <w:u w:val="single"/>
        </w:rPr>
        <w:t>Enquête My EDF</w:t>
      </w:r>
    </w:p>
    <w:p w:rsidR="006A48BF" w:rsidRPr="006A48BF" w:rsidRDefault="006A48BF" w:rsidP="00D515A0">
      <w:pPr>
        <w:ind w:left="57"/>
        <w:jc w:val="both"/>
        <w:rPr>
          <w:color w:val="000000"/>
          <w:sz w:val="22"/>
          <w:szCs w:val="22"/>
        </w:rPr>
      </w:pPr>
      <w:r>
        <w:rPr>
          <w:color w:val="000000"/>
          <w:sz w:val="22"/>
          <w:szCs w:val="22"/>
        </w:rPr>
        <w:t>La direction a présenté l</w:t>
      </w:r>
      <w:r w:rsidR="008E0E4F">
        <w:rPr>
          <w:color w:val="000000"/>
          <w:sz w:val="22"/>
          <w:szCs w:val="22"/>
        </w:rPr>
        <w:t>es résultats de l’enquête My EDF 201</w:t>
      </w:r>
      <w:r>
        <w:rPr>
          <w:color w:val="000000"/>
          <w:sz w:val="22"/>
          <w:szCs w:val="22"/>
        </w:rPr>
        <w:t>3. Le taux de participation a été de 59% contre 49% en 2012. Suite à cette enquête, la direction a demandé à c</w:t>
      </w:r>
      <w:r w:rsidRPr="006A48BF">
        <w:rPr>
          <w:color w:val="000000"/>
          <w:sz w:val="22"/>
          <w:szCs w:val="22"/>
        </w:rPr>
        <w:t xml:space="preserve">haque département </w:t>
      </w:r>
      <w:r>
        <w:rPr>
          <w:color w:val="000000"/>
          <w:sz w:val="22"/>
          <w:szCs w:val="22"/>
        </w:rPr>
        <w:t>de</w:t>
      </w:r>
      <w:r w:rsidRPr="006A48BF">
        <w:rPr>
          <w:color w:val="000000"/>
          <w:sz w:val="22"/>
          <w:szCs w:val="22"/>
        </w:rPr>
        <w:t xml:space="preserve"> proposer 2 act</w:t>
      </w:r>
      <w:r w:rsidR="006A1D9C">
        <w:rPr>
          <w:color w:val="000000"/>
          <w:sz w:val="22"/>
          <w:szCs w:val="22"/>
        </w:rPr>
        <w:t xml:space="preserve">ions en lien avec les résultats. De plus, elle a mis en place les actions managériales suivantes : </w:t>
      </w:r>
    </w:p>
    <w:p w:rsidR="006A48BF" w:rsidRPr="006A48BF" w:rsidRDefault="006A1D9C" w:rsidP="00D515A0">
      <w:pPr>
        <w:pStyle w:val="Paragraphedeliste"/>
        <w:numPr>
          <w:ilvl w:val="0"/>
          <w:numId w:val="50"/>
        </w:numPr>
        <w:spacing w:after="0" w:line="240" w:lineRule="auto"/>
        <w:ind w:left="414" w:hanging="357"/>
        <w:jc w:val="both"/>
        <w:rPr>
          <w:rFonts w:ascii="Times New Roman" w:hAnsi="Times New Roman"/>
          <w:color w:val="000000"/>
        </w:rPr>
      </w:pPr>
      <w:r>
        <w:rPr>
          <w:rFonts w:ascii="Times New Roman" w:hAnsi="Times New Roman"/>
          <w:color w:val="000000"/>
        </w:rPr>
        <w:t>mieux former les chefs de groupe,</w:t>
      </w:r>
    </w:p>
    <w:p w:rsidR="004E2B46" w:rsidRDefault="006A1D9C" w:rsidP="00D515A0">
      <w:pPr>
        <w:pStyle w:val="Paragraphedeliste"/>
        <w:numPr>
          <w:ilvl w:val="0"/>
          <w:numId w:val="50"/>
        </w:numPr>
        <w:spacing w:after="0" w:line="240" w:lineRule="auto"/>
        <w:ind w:left="414" w:hanging="357"/>
        <w:jc w:val="both"/>
        <w:rPr>
          <w:rFonts w:ascii="Times New Roman" w:hAnsi="Times New Roman"/>
          <w:color w:val="000000"/>
        </w:rPr>
      </w:pPr>
      <w:r>
        <w:rPr>
          <w:rFonts w:ascii="Times New Roman" w:hAnsi="Times New Roman"/>
          <w:color w:val="000000"/>
        </w:rPr>
        <w:t>améliorer le lien entre les programmes et les départements,</w:t>
      </w:r>
    </w:p>
    <w:p w:rsidR="006A1D9C" w:rsidRDefault="006A1D9C" w:rsidP="00303B06">
      <w:pPr>
        <w:pStyle w:val="Paragraphedeliste"/>
        <w:numPr>
          <w:ilvl w:val="0"/>
          <w:numId w:val="50"/>
        </w:numPr>
        <w:spacing w:after="120" w:line="240" w:lineRule="auto"/>
        <w:ind w:left="414" w:hanging="357"/>
        <w:jc w:val="both"/>
        <w:rPr>
          <w:rFonts w:ascii="Times New Roman" w:hAnsi="Times New Roman"/>
          <w:color w:val="000000"/>
        </w:rPr>
      </w:pPr>
      <w:r>
        <w:rPr>
          <w:rFonts w:ascii="Times New Roman" w:hAnsi="Times New Roman"/>
          <w:color w:val="000000"/>
        </w:rPr>
        <w:t>proposer aux chefs de département, des kits de communication sur divers sujets.</w:t>
      </w:r>
    </w:p>
    <w:p w:rsidR="006A1D9C" w:rsidRPr="0001063F" w:rsidRDefault="000046FC" w:rsidP="00303B06">
      <w:pPr>
        <w:ind w:left="57"/>
        <w:jc w:val="both"/>
        <w:rPr>
          <w:i/>
          <w:color w:val="000000"/>
          <w:sz w:val="22"/>
          <w:szCs w:val="22"/>
        </w:rPr>
      </w:pPr>
      <w:r w:rsidRPr="0001063F">
        <w:rPr>
          <w:i/>
          <w:color w:val="000000"/>
          <w:sz w:val="22"/>
          <w:szCs w:val="22"/>
        </w:rPr>
        <w:t>La délégation CGT considère que les questions de l’enquête sont essentiellement qualitatives et donc pas facile</w:t>
      </w:r>
      <w:r w:rsidR="00DA0599">
        <w:rPr>
          <w:i/>
          <w:color w:val="000000"/>
          <w:sz w:val="22"/>
          <w:szCs w:val="22"/>
        </w:rPr>
        <w:t>s</w:t>
      </w:r>
      <w:r w:rsidRPr="0001063F">
        <w:rPr>
          <w:i/>
          <w:color w:val="000000"/>
          <w:sz w:val="22"/>
          <w:szCs w:val="22"/>
        </w:rPr>
        <w:t xml:space="preserve"> à interpréter. De plus, elle juge que la formulation de certaines questions, notamment celles concernant la rémunération, est manipulatoire. Malgré toutes ces réserves quant à l’interprétation des résultats, </w:t>
      </w:r>
      <w:r w:rsidR="00A63A1A" w:rsidRPr="0001063F">
        <w:rPr>
          <w:i/>
          <w:color w:val="000000"/>
          <w:sz w:val="22"/>
          <w:szCs w:val="22"/>
        </w:rPr>
        <w:t xml:space="preserve">certains points sont à </w:t>
      </w:r>
      <w:r w:rsidR="00C435CE" w:rsidRPr="0001063F">
        <w:rPr>
          <w:i/>
          <w:color w:val="000000"/>
          <w:sz w:val="22"/>
          <w:szCs w:val="22"/>
        </w:rPr>
        <w:t>souligner :</w:t>
      </w:r>
      <w:r w:rsidR="00A63A1A" w:rsidRPr="0001063F">
        <w:rPr>
          <w:i/>
          <w:color w:val="000000"/>
          <w:sz w:val="22"/>
          <w:szCs w:val="22"/>
        </w:rPr>
        <w:t xml:space="preserve"> </w:t>
      </w:r>
    </w:p>
    <w:p w:rsidR="00A63A1A" w:rsidRPr="0001063F" w:rsidRDefault="00F230A5" w:rsidP="0017584E">
      <w:pPr>
        <w:pStyle w:val="Paragraphedeliste"/>
        <w:numPr>
          <w:ilvl w:val="0"/>
          <w:numId w:val="50"/>
        </w:numPr>
        <w:spacing w:after="120" w:line="240" w:lineRule="auto"/>
        <w:ind w:left="414" w:hanging="357"/>
        <w:jc w:val="both"/>
        <w:rPr>
          <w:rFonts w:ascii="Times New Roman" w:hAnsi="Times New Roman"/>
          <w:i/>
          <w:color w:val="000000"/>
        </w:rPr>
      </w:pPr>
      <w:r w:rsidRPr="00F230A5">
        <w:rPr>
          <w:rFonts w:ascii="Times New Roman" w:hAnsi="Times New Roman"/>
          <w:b/>
          <w:i/>
          <w:color w:val="000000"/>
        </w:rPr>
        <w:t>21%</w:t>
      </w:r>
      <w:r w:rsidR="00A63A1A" w:rsidRPr="0001063F">
        <w:rPr>
          <w:rFonts w:ascii="Times New Roman" w:hAnsi="Times New Roman"/>
          <w:i/>
          <w:color w:val="000000"/>
        </w:rPr>
        <w:t xml:space="preserve"> des agents ayant répondu ne sont</w:t>
      </w:r>
      <w:r w:rsidR="0017584E" w:rsidRPr="0001063F">
        <w:rPr>
          <w:rFonts w:ascii="Times New Roman" w:hAnsi="Times New Roman"/>
          <w:i/>
          <w:color w:val="000000"/>
        </w:rPr>
        <w:t xml:space="preserve"> </w:t>
      </w:r>
      <w:r w:rsidRPr="00F230A5">
        <w:rPr>
          <w:rFonts w:ascii="Times New Roman" w:hAnsi="Times New Roman"/>
          <w:b/>
          <w:i/>
          <w:color w:val="000000"/>
        </w:rPr>
        <w:t>pas satisfaits de leur travail.</w:t>
      </w:r>
    </w:p>
    <w:p w:rsidR="00303B06" w:rsidRPr="0001063F" w:rsidRDefault="00B55F9B" w:rsidP="00303B06">
      <w:pPr>
        <w:pStyle w:val="Paragraphedeliste"/>
        <w:numPr>
          <w:ilvl w:val="0"/>
          <w:numId w:val="50"/>
        </w:numPr>
        <w:spacing w:after="0" w:line="240" w:lineRule="auto"/>
        <w:ind w:left="414" w:hanging="357"/>
        <w:jc w:val="both"/>
        <w:rPr>
          <w:rFonts w:ascii="Times New Roman" w:hAnsi="Times New Roman"/>
          <w:i/>
          <w:color w:val="000000"/>
        </w:rPr>
      </w:pPr>
      <w:r w:rsidRPr="0001063F">
        <w:rPr>
          <w:rFonts w:ascii="Times New Roman" w:hAnsi="Times New Roman"/>
          <w:i/>
          <w:color w:val="000000"/>
        </w:rPr>
        <w:t xml:space="preserve">25% </w:t>
      </w:r>
      <w:r w:rsidR="00A02364">
        <w:rPr>
          <w:rFonts w:ascii="Times New Roman" w:hAnsi="Times New Roman"/>
          <w:i/>
          <w:color w:val="000000"/>
        </w:rPr>
        <w:t>sont insatisfaits du</w:t>
      </w:r>
      <w:r w:rsidRPr="0001063F">
        <w:rPr>
          <w:rFonts w:ascii="Times New Roman" w:hAnsi="Times New Roman"/>
          <w:i/>
          <w:color w:val="000000"/>
        </w:rPr>
        <w:t xml:space="preserve"> respect</w:t>
      </w:r>
      <w:r w:rsidR="00A02364">
        <w:rPr>
          <w:rFonts w:ascii="Times New Roman" w:hAnsi="Times New Roman"/>
          <w:i/>
          <w:color w:val="000000"/>
        </w:rPr>
        <w:t xml:space="preserve"> avec lequel ils sont considérés</w:t>
      </w:r>
      <w:r w:rsidRPr="0001063F">
        <w:rPr>
          <w:rFonts w:ascii="Times New Roman" w:hAnsi="Times New Roman"/>
          <w:i/>
          <w:color w:val="000000"/>
        </w:rPr>
        <w:t xml:space="preserve">. </w:t>
      </w:r>
    </w:p>
    <w:p w:rsidR="00303B06" w:rsidRPr="0001063F" w:rsidRDefault="00F230A5" w:rsidP="00303B06">
      <w:pPr>
        <w:pStyle w:val="Paragraphedeliste"/>
        <w:numPr>
          <w:ilvl w:val="0"/>
          <w:numId w:val="50"/>
        </w:numPr>
        <w:spacing w:after="0" w:line="240" w:lineRule="auto"/>
        <w:ind w:left="414" w:hanging="357"/>
        <w:jc w:val="both"/>
        <w:rPr>
          <w:rFonts w:ascii="Times New Roman" w:hAnsi="Times New Roman"/>
          <w:i/>
          <w:color w:val="000000"/>
        </w:rPr>
      </w:pPr>
      <w:r w:rsidRPr="00F230A5">
        <w:rPr>
          <w:rFonts w:ascii="Times New Roman" w:hAnsi="Times New Roman"/>
          <w:b/>
          <w:i/>
          <w:color w:val="000000"/>
        </w:rPr>
        <w:lastRenderedPageBreak/>
        <w:t xml:space="preserve">49 </w:t>
      </w:r>
      <w:r w:rsidR="00A63A1A" w:rsidRPr="00131292">
        <w:rPr>
          <w:rFonts w:ascii="Times New Roman" w:hAnsi="Times New Roman"/>
          <w:i/>
          <w:color w:val="000000"/>
        </w:rPr>
        <w:t>% considèrent que le niveau d’attention porté à</w:t>
      </w:r>
      <w:r w:rsidRPr="00F230A5">
        <w:rPr>
          <w:rFonts w:ascii="Times New Roman" w:hAnsi="Times New Roman"/>
          <w:i/>
          <w:color w:val="000000"/>
        </w:rPr>
        <w:t xml:space="preserve"> l’innovation est insuffisant</w:t>
      </w:r>
      <w:r w:rsidR="0017584E" w:rsidRPr="00303B06">
        <w:rPr>
          <w:rFonts w:ascii="Times New Roman" w:hAnsi="Times New Roman"/>
          <w:i/>
          <w:color w:val="000000"/>
        </w:rPr>
        <w:t>. Ce résultat est inquiétant</w:t>
      </w:r>
      <w:r w:rsidR="00A63A1A" w:rsidRPr="00303B06">
        <w:rPr>
          <w:rFonts w:ascii="Times New Roman" w:hAnsi="Times New Roman"/>
          <w:i/>
          <w:color w:val="000000"/>
        </w:rPr>
        <w:t xml:space="preserve"> </w:t>
      </w:r>
      <w:r w:rsidR="0017584E" w:rsidRPr="00303B06">
        <w:rPr>
          <w:rFonts w:ascii="Times New Roman" w:hAnsi="Times New Roman"/>
          <w:i/>
          <w:color w:val="000000"/>
        </w:rPr>
        <w:t xml:space="preserve">particulièrement dans une unité de recherche et développement. </w:t>
      </w:r>
      <w:r w:rsidR="00C435CE" w:rsidRPr="00303B06">
        <w:rPr>
          <w:rFonts w:ascii="Times New Roman" w:hAnsi="Times New Roman"/>
          <w:i/>
          <w:color w:val="000000"/>
        </w:rPr>
        <w:t>Ce résultat peut être mis en parallèle avec l’enquête sur les effets de l’organisation de la R&amp;D sur le travail dans laquelle il apparait notamment que « les outils de contrôle et de suivi de l’activité constituent une entrave à la qualité du travail scientifique […] les agents passant de plus en plus de temps à dire ce qu’ils ont fait ou vont faire, au détriment de leur production scientifique ».</w:t>
      </w:r>
      <w:r w:rsidR="00303B06" w:rsidRPr="00303B06">
        <w:rPr>
          <w:rFonts w:ascii="Times New Roman" w:hAnsi="Times New Roman"/>
          <w:i/>
          <w:color w:val="000000"/>
        </w:rPr>
        <w:t xml:space="preserve"> </w:t>
      </w:r>
    </w:p>
    <w:p w:rsidR="00303B06" w:rsidRPr="0001063F" w:rsidRDefault="0017584E" w:rsidP="00303B06">
      <w:pPr>
        <w:pStyle w:val="Paragraphedeliste"/>
        <w:numPr>
          <w:ilvl w:val="0"/>
          <w:numId w:val="50"/>
        </w:numPr>
        <w:spacing w:after="0" w:line="240" w:lineRule="auto"/>
        <w:ind w:left="414" w:hanging="357"/>
        <w:jc w:val="both"/>
        <w:rPr>
          <w:rFonts w:ascii="Times New Roman" w:hAnsi="Times New Roman"/>
          <w:i/>
          <w:color w:val="000000"/>
        </w:rPr>
      </w:pPr>
      <w:r w:rsidRPr="00303B06">
        <w:rPr>
          <w:rFonts w:ascii="Times New Roman" w:hAnsi="Times New Roman"/>
          <w:i/>
          <w:color w:val="000000"/>
        </w:rPr>
        <w:t xml:space="preserve">73% considèrent que le niveau d’attention porté à la transmission des savoir-faire et des connaissances est insuffisant. De même, 68 % considèrent que le niveau d’attention porté au </w:t>
      </w:r>
      <w:r w:rsidR="00205F57" w:rsidRPr="00303B06">
        <w:rPr>
          <w:rFonts w:ascii="Times New Roman" w:hAnsi="Times New Roman"/>
          <w:i/>
          <w:color w:val="000000"/>
        </w:rPr>
        <w:t>renouvèlement</w:t>
      </w:r>
      <w:r w:rsidRPr="00303B06">
        <w:rPr>
          <w:rFonts w:ascii="Times New Roman" w:hAnsi="Times New Roman"/>
          <w:i/>
          <w:color w:val="000000"/>
        </w:rPr>
        <w:t xml:space="preserve"> des compétences clés pour l’avenir est insuffisant. Là encore, c’est inquiétant dans une entreprise qui connait un </w:t>
      </w:r>
      <w:r w:rsidR="00205F57" w:rsidRPr="00303B06">
        <w:rPr>
          <w:rFonts w:ascii="Times New Roman" w:hAnsi="Times New Roman"/>
          <w:i/>
          <w:color w:val="000000"/>
        </w:rPr>
        <w:t>renouvèlement</w:t>
      </w:r>
      <w:r w:rsidRPr="00303B06">
        <w:rPr>
          <w:rFonts w:ascii="Times New Roman" w:hAnsi="Times New Roman"/>
          <w:i/>
          <w:color w:val="000000"/>
        </w:rPr>
        <w:t xml:space="preserve"> des ses effectifs important en lien avec des vagues </w:t>
      </w:r>
      <w:r w:rsidR="00C435CE" w:rsidRPr="00303B06">
        <w:rPr>
          <w:rFonts w:ascii="Times New Roman" w:hAnsi="Times New Roman"/>
          <w:i/>
          <w:color w:val="000000"/>
        </w:rPr>
        <w:t>importante</w:t>
      </w:r>
      <w:r w:rsidR="00D515A0" w:rsidRPr="00303B06">
        <w:rPr>
          <w:rFonts w:ascii="Times New Roman" w:hAnsi="Times New Roman"/>
          <w:i/>
          <w:color w:val="000000"/>
        </w:rPr>
        <w:t>s</w:t>
      </w:r>
      <w:r w:rsidR="00C435CE" w:rsidRPr="00303B06">
        <w:rPr>
          <w:rFonts w:ascii="Times New Roman" w:hAnsi="Times New Roman"/>
          <w:i/>
          <w:color w:val="000000"/>
        </w:rPr>
        <w:t xml:space="preserve"> </w:t>
      </w:r>
      <w:r w:rsidRPr="00303B06">
        <w:rPr>
          <w:rFonts w:ascii="Times New Roman" w:hAnsi="Times New Roman"/>
          <w:i/>
          <w:color w:val="000000"/>
        </w:rPr>
        <w:t>de départ en retraite.</w:t>
      </w:r>
      <w:r w:rsidR="00303B06" w:rsidRPr="00303B06">
        <w:rPr>
          <w:rFonts w:ascii="Times New Roman" w:hAnsi="Times New Roman"/>
          <w:i/>
          <w:color w:val="000000"/>
        </w:rPr>
        <w:t xml:space="preserve"> </w:t>
      </w:r>
    </w:p>
    <w:p w:rsidR="00303B06" w:rsidRPr="0001063F" w:rsidRDefault="007E5D93" w:rsidP="00303B06">
      <w:pPr>
        <w:pStyle w:val="Paragraphedeliste"/>
        <w:numPr>
          <w:ilvl w:val="0"/>
          <w:numId w:val="50"/>
        </w:numPr>
        <w:spacing w:after="0" w:line="240" w:lineRule="auto"/>
        <w:ind w:left="414" w:hanging="357"/>
        <w:jc w:val="both"/>
        <w:rPr>
          <w:rFonts w:ascii="Times New Roman" w:hAnsi="Times New Roman"/>
          <w:i/>
          <w:color w:val="000000"/>
        </w:rPr>
      </w:pPr>
      <w:r w:rsidRPr="00303B06">
        <w:rPr>
          <w:rFonts w:ascii="Times New Roman" w:hAnsi="Times New Roman"/>
          <w:i/>
          <w:color w:val="000000"/>
        </w:rPr>
        <w:t xml:space="preserve">81% sont satisfaits de l’équilibre vie privée/vie professionnelle. </w:t>
      </w:r>
      <w:r w:rsidR="00E43407" w:rsidRPr="00303B06">
        <w:rPr>
          <w:rFonts w:ascii="Times New Roman" w:hAnsi="Times New Roman"/>
          <w:i/>
          <w:color w:val="000000"/>
        </w:rPr>
        <w:t xml:space="preserve">On peut donc penser qu’ils ne </w:t>
      </w:r>
      <w:r w:rsidR="00131292" w:rsidRPr="00303B06">
        <w:rPr>
          <w:rFonts w:ascii="Times New Roman" w:hAnsi="Times New Roman"/>
          <w:i/>
          <w:color w:val="000000"/>
        </w:rPr>
        <w:t>ser</w:t>
      </w:r>
      <w:r w:rsidR="00131292">
        <w:rPr>
          <w:rFonts w:ascii="Times New Roman" w:hAnsi="Times New Roman"/>
          <w:i/>
          <w:color w:val="000000"/>
        </w:rPr>
        <w:t>aie</w:t>
      </w:r>
      <w:r w:rsidR="00131292" w:rsidRPr="00303B06">
        <w:rPr>
          <w:rFonts w:ascii="Times New Roman" w:hAnsi="Times New Roman"/>
          <w:i/>
          <w:color w:val="000000"/>
        </w:rPr>
        <w:t xml:space="preserve">nt </w:t>
      </w:r>
      <w:r w:rsidR="00E43407" w:rsidRPr="00303B06">
        <w:rPr>
          <w:rFonts w:ascii="Times New Roman" w:hAnsi="Times New Roman"/>
          <w:i/>
          <w:color w:val="000000"/>
        </w:rPr>
        <w:t>pas favorable</w:t>
      </w:r>
      <w:r w:rsidR="00032194" w:rsidRPr="00303B06">
        <w:rPr>
          <w:rFonts w:ascii="Times New Roman" w:hAnsi="Times New Roman"/>
          <w:i/>
          <w:color w:val="000000"/>
        </w:rPr>
        <w:t>s</w:t>
      </w:r>
      <w:r w:rsidR="00E43407" w:rsidRPr="00303B06">
        <w:rPr>
          <w:rFonts w:ascii="Times New Roman" w:hAnsi="Times New Roman"/>
          <w:i/>
          <w:color w:val="000000"/>
        </w:rPr>
        <w:t xml:space="preserve"> à la remise en cause des 32h et des 35 h et au passage au forfait jour </w:t>
      </w:r>
      <w:r w:rsidR="00131292">
        <w:rPr>
          <w:rFonts w:ascii="Times New Roman" w:hAnsi="Times New Roman"/>
          <w:i/>
          <w:color w:val="000000"/>
        </w:rPr>
        <w:t>envisagés</w:t>
      </w:r>
      <w:r w:rsidR="00131292" w:rsidRPr="00303B06">
        <w:rPr>
          <w:rFonts w:ascii="Times New Roman" w:hAnsi="Times New Roman"/>
          <w:i/>
          <w:color w:val="000000"/>
        </w:rPr>
        <w:t xml:space="preserve"> </w:t>
      </w:r>
      <w:r w:rsidR="00E43407" w:rsidRPr="00303B06">
        <w:rPr>
          <w:rFonts w:ascii="Times New Roman" w:hAnsi="Times New Roman"/>
          <w:i/>
          <w:color w:val="000000"/>
        </w:rPr>
        <w:t>dans le cadre des négociations sur le temps de travail.</w:t>
      </w:r>
      <w:r w:rsidR="00303B06" w:rsidRPr="00303B06">
        <w:rPr>
          <w:rFonts w:ascii="Times New Roman" w:hAnsi="Times New Roman"/>
          <w:i/>
          <w:color w:val="000000"/>
        </w:rPr>
        <w:t xml:space="preserve"> </w:t>
      </w:r>
    </w:p>
    <w:p w:rsidR="00A02364" w:rsidRPr="00303B06" w:rsidRDefault="00A02364" w:rsidP="00303B06">
      <w:pPr>
        <w:pStyle w:val="Paragraphedeliste"/>
        <w:spacing w:after="120" w:line="240" w:lineRule="auto"/>
        <w:ind w:left="57"/>
        <w:jc w:val="both"/>
        <w:rPr>
          <w:rFonts w:ascii="Times New Roman" w:hAnsi="Times New Roman"/>
          <w:color w:val="000000"/>
        </w:rPr>
      </w:pPr>
      <w:r w:rsidRPr="00303B06">
        <w:rPr>
          <w:rFonts w:ascii="Times New Roman" w:hAnsi="Times New Roman"/>
          <w:color w:val="000000"/>
        </w:rPr>
        <w:t>La Direction a refusé de donner les résultats par département.</w:t>
      </w:r>
    </w:p>
    <w:p w:rsidR="00B55F9B" w:rsidRPr="00303B06" w:rsidRDefault="00B55F9B" w:rsidP="00B55F9B">
      <w:pPr>
        <w:tabs>
          <w:tab w:val="left" w:pos="993"/>
        </w:tabs>
        <w:spacing w:after="120"/>
        <w:ind w:left="57"/>
        <w:jc w:val="both"/>
        <w:rPr>
          <w:b/>
          <w:bCs/>
          <w:i/>
          <w:color w:val="000000"/>
          <w:u w:val="single"/>
        </w:rPr>
      </w:pPr>
      <w:r w:rsidRPr="00303B06">
        <w:rPr>
          <w:i/>
          <w:color w:val="000000"/>
        </w:rPr>
        <w:sym w:font="Wingdings" w:char="F040"/>
      </w:r>
      <w:r w:rsidRPr="00303B06">
        <w:rPr>
          <w:b/>
          <w:bCs/>
          <w:i/>
          <w:color w:val="000000"/>
          <w:u w:val="single"/>
        </w:rPr>
        <w:t xml:space="preserve"> Dossier bibliothèques Saclay </w:t>
      </w:r>
    </w:p>
    <w:p w:rsidR="00B55F9B" w:rsidRPr="00303B06" w:rsidRDefault="00B55F9B" w:rsidP="00B55F9B">
      <w:pPr>
        <w:spacing w:after="120"/>
        <w:ind w:left="57"/>
        <w:jc w:val="both"/>
        <w:rPr>
          <w:i/>
          <w:color w:val="000000"/>
          <w:sz w:val="22"/>
          <w:szCs w:val="22"/>
        </w:rPr>
      </w:pPr>
      <w:r w:rsidRPr="00303B06">
        <w:rPr>
          <w:i/>
          <w:color w:val="000000"/>
          <w:sz w:val="22"/>
          <w:szCs w:val="22"/>
        </w:rPr>
        <w:t>A la demande des organisations syndicales, la direction a présenté les actions qu’elle a mis</w:t>
      </w:r>
      <w:r w:rsidR="00D833F1" w:rsidRPr="00303B06">
        <w:rPr>
          <w:i/>
          <w:color w:val="000000"/>
          <w:sz w:val="22"/>
          <w:szCs w:val="22"/>
        </w:rPr>
        <w:t>es</w:t>
      </w:r>
      <w:r w:rsidRPr="00303B06">
        <w:rPr>
          <w:i/>
          <w:color w:val="000000"/>
          <w:sz w:val="22"/>
          <w:szCs w:val="22"/>
        </w:rPr>
        <w:t xml:space="preserve"> en œuvre concernant les bibliothèques dans le cadre du déménagement à Saclay. </w:t>
      </w:r>
    </w:p>
    <w:p w:rsidR="00351839" w:rsidRDefault="00351839" w:rsidP="00351839">
      <w:pPr>
        <w:spacing w:after="120"/>
        <w:ind w:left="57"/>
        <w:jc w:val="both"/>
        <w:rPr>
          <w:color w:val="000000"/>
          <w:sz w:val="22"/>
          <w:szCs w:val="22"/>
        </w:rPr>
      </w:pPr>
      <w:r w:rsidRPr="00303B06">
        <w:rPr>
          <w:i/>
          <w:color w:val="000000"/>
          <w:sz w:val="22"/>
          <w:szCs w:val="22"/>
        </w:rPr>
        <w:t xml:space="preserve">La direction précise </w:t>
      </w:r>
      <w:r w:rsidR="0001063F" w:rsidRPr="00303B06">
        <w:rPr>
          <w:i/>
          <w:color w:val="000000"/>
          <w:sz w:val="22"/>
          <w:szCs w:val="22"/>
        </w:rPr>
        <w:t xml:space="preserve">qu’elle </w:t>
      </w:r>
      <w:r w:rsidR="00DD4896" w:rsidRPr="00303B06">
        <w:rPr>
          <w:i/>
          <w:color w:val="000000"/>
          <w:sz w:val="22"/>
          <w:szCs w:val="22"/>
        </w:rPr>
        <w:t xml:space="preserve">procèdera uniquement à un déménagement des bibliothèques existantes en </w:t>
      </w:r>
      <w:r w:rsidR="00DD4896" w:rsidRPr="00303B06">
        <w:rPr>
          <w:i/>
          <w:color w:val="000000"/>
          <w:sz w:val="22"/>
          <w:szCs w:val="22"/>
        </w:rPr>
        <w:lastRenderedPageBreak/>
        <w:t>conservant une gestion par département basé</w:t>
      </w:r>
      <w:r w:rsidR="00D515A0" w:rsidRPr="00303B06">
        <w:rPr>
          <w:i/>
          <w:color w:val="000000"/>
          <w:sz w:val="22"/>
          <w:szCs w:val="22"/>
        </w:rPr>
        <w:t>e</w:t>
      </w:r>
      <w:r w:rsidR="00DD4896">
        <w:rPr>
          <w:color w:val="000000"/>
          <w:sz w:val="22"/>
          <w:szCs w:val="22"/>
        </w:rPr>
        <w:t xml:space="preserve"> sur des volontaires. </w:t>
      </w:r>
      <w:r w:rsidR="0001063F">
        <w:rPr>
          <w:color w:val="000000"/>
          <w:sz w:val="22"/>
          <w:szCs w:val="22"/>
        </w:rPr>
        <w:t xml:space="preserve">Dans le cadre de ce déménagement, un travail d’inventaire et de tri est à réaliser dans les départements afin de dimensionner les mètres linéaires nécessaires à Saclay. </w:t>
      </w:r>
    </w:p>
    <w:p w:rsidR="00D515A0" w:rsidRDefault="00D515A0" w:rsidP="00351839">
      <w:pPr>
        <w:spacing w:after="120"/>
        <w:ind w:left="57"/>
        <w:jc w:val="both"/>
        <w:rPr>
          <w:color w:val="000000"/>
          <w:sz w:val="22"/>
          <w:szCs w:val="22"/>
        </w:rPr>
      </w:pPr>
      <w:r>
        <w:rPr>
          <w:color w:val="000000"/>
          <w:sz w:val="22"/>
          <w:szCs w:val="22"/>
        </w:rPr>
        <w:t>En marge de la discussion, la direction a précisé que les départements connaissent le nombre de ml dont ils pourront disposer à Saclay et qu’ils doivent profiter de la période estivale pour faire le point et réagir si nécessaire.</w:t>
      </w:r>
    </w:p>
    <w:p w:rsidR="0001063F" w:rsidRPr="005A5061" w:rsidRDefault="0001063F" w:rsidP="00351839">
      <w:pPr>
        <w:spacing w:after="120"/>
        <w:ind w:left="57"/>
        <w:jc w:val="both"/>
        <w:rPr>
          <w:i/>
          <w:color w:val="000000"/>
          <w:sz w:val="22"/>
          <w:szCs w:val="22"/>
        </w:rPr>
      </w:pPr>
      <w:r w:rsidRPr="005A5061">
        <w:rPr>
          <w:i/>
          <w:color w:val="000000"/>
          <w:sz w:val="22"/>
          <w:szCs w:val="22"/>
        </w:rPr>
        <w:t xml:space="preserve">La délégation CGT regrette qu’il ne soit </w:t>
      </w:r>
      <w:r w:rsidR="00131292">
        <w:rPr>
          <w:i/>
          <w:color w:val="000000"/>
          <w:sz w:val="22"/>
          <w:szCs w:val="22"/>
        </w:rPr>
        <w:t xml:space="preserve">pas </w:t>
      </w:r>
      <w:r w:rsidRPr="005A5061">
        <w:rPr>
          <w:i/>
          <w:color w:val="000000"/>
          <w:sz w:val="22"/>
          <w:szCs w:val="22"/>
        </w:rPr>
        <w:t>mis en place une bibliothèque commune sur le site</w:t>
      </w:r>
      <w:r w:rsidR="005A5061">
        <w:rPr>
          <w:i/>
          <w:color w:val="000000"/>
          <w:sz w:val="22"/>
          <w:szCs w:val="22"/>
        </w:rPr>
        <w:t xml:space="preserve"> de Saclay</w:t>
      </w:r>
      <w:r w:rsidRPr="005A5061">
        <w:rPr>
          <w:i/>
          <w:color w:val="000000"/>
          <w:sz w:val="22"/>
          <w:szCs w:val="22"/>
        </w:rPr>
        <w:t xml:space="preserve"> comme l’avait annoncé Yves </w:t>
      </w:r>
      <w:r w:rsidR="00A02364" w:rsidRPr="005A5061">
        <w:rPr>
          <w:i/>
          <w:color w:val="000000"/>
          <w:sz w:val="22"/>
          <w:szCs w:val="22"/>
        </w:rPr>
        <w:t>Bamberg</w:t>
      </w:r>
      <w:r w:rsidR="00A02364">
        <w:rPr>
          <w:i/>
          <w:color w:val="000000"/>
          <w:sz w:val="22"/>
          <w:szCs w:val="22"/>
        </w:rPr>
        <w:t>er</w:t>
      </w:r>
      <w:r w:rsidRPr="005A5061">
        <w:rPr>
          <w:i/>
          <w:color w:val="000000"/>
          <w:sz w:val="22"/>
          <w:szCs w:val="22"/>
        </w:rPr>
        <w:t xml:space="preserve">, le directeur de la R&amp;D à l’époque où la décision du déménagement sur Saclay a été prise. En effet, on constate depuis des années que la gestion des bibliothèques </w:t>
      </w:r>
      <w:r w:rsidR="005A5061" w:rsidRPr="005A5061">
        <w:rPr>
          <w:i/>
          <w:color w:val="000000"/>
          <w:sz w:val="22"/>
          <w:szCs w:val="22"/>
        </w:rPr>
        <w:t>dans les départements</w:t>
      </w:r>
      <w:r w:rsidR="005A5061">
        <w:rPr>
          <w:i/>
          <w:color w:val="000000"/>
          <w:sz w:val="22"/>
          <w:szCs w:val="22"/>
        </w:rPr>
        <w:t>,</w:t>
      </w:r>
      <w:r w:rsidR="005A5061" w:rsidRPr="005A5061">
        <w:rPr>
          <w:i/>
          <w:color w:val="000000"/>
          <w:sz w:val="22"/>
          <w:szCs w:val="22"/>
        </w:rPr>
        <w:t xml:space="preserve"> </w:t>
      </w:r>
      <w:r w:rsidRPr="005A5061">
        <w:rPr>
          <w:i/>
          <w:color w:val="000000"/>
          <w:sz w:val="22"/>
          <w:szCs w:val="22"/>
        </w:rPr>
        <w:t>basée</w:t>
      </w:r>
      <w:r w:rsidR="005A5061" w:rsidRPr="005A5061">
        <w:rPr>
          <w:i/>
          <w:color w:val="000000"/>
          <w:sz w:val="22"/>
          <w:szCs w:val="22"/>
        </w:rPr>
        <w:t>s</w:t>
      </w:r>
      <w:r w:rsidRPr="005A5061">
        <w:rPr>
          <w:i/>
          <w:color w:val="000000"/>
          <w:sz w:val="22"/>
          <w:szCs w:val="22"/>
        </w:rPr>
        <w:t xml:space="preserve"> sur le volontariat</w:t>
      </w:r>
      <w:r w:rsidR="005A5061">
        <w:rPr>
          <w:i/>
          <w:color w:val="000000"/>
          <w:sz w:val="22"/>
          <w:szCs w:val="22"/>
        </w:rPr>
        <w:t>,</w:t>
      </w:r>
      <w:r w:rsidRPr="005A5061">
        <w:rPr>
          <w:i/>
          <w:color w:val="000000"/>
          <w:sz w:val="22"/>
          <w:szCs w:val="22"/>
        </w:rPr>
        <w:t xml:space="preserve"> ne permet pas d’avoir un service qui fonctionne correctement. Une unité de recherche et développement devrait pouvoir s’appuyer une un service de bibliothèque efficace, géré par des bibliothécaires qui organiseraient un service de prêt, de </w:t>
      </w:r>
      <w:r w:rsidR="00154F5C" w:rsidRPr="005A5061">
        <w:rPr>
          <w:i/>
          <w:color w:val="000000"/>
          <w:sz w:val="22"/>
          <w:szCs w:val="22"/>
        </w:rPr>
        <w:t>renouvèlement</w:t>
      </w:r>
      <w:r w:rsidRPr="005A5061">
        <w:rPr>
          <w:i/>
          <w:color w:val="000000"/>
          <w:sz w:val="22"/>
          <w:szCs w:val="22"/>
        </w:rPr>
        <w:t xml:space="preserve"> des ouvrages</w:t>
      </w:r>
      <w:r w:rsidR="005A5061" w:rsidRPr="005A5061">
        <w:rPr>
          <w:i/>
          <w:color w:val="000000"/>
          <w:sz w:val="22"/>
          <w:szCs w:val="22"/>
        </w:rPr>
        <w:t xml:space="preserve"> et</w:t>
      </w:r>
      <w:r w:rsidRPr="005A5061">
        <w:rPr>
          <w:i/>
          <w:color w:val="000000"/>
          <w:sz w:val="22"/>
          <w:szCs w:val="22"/>
        </w:rPr>
        <w:t xml:space="preserve"> de gestion des abonnements au</w:t>
      </w:r>
      <w:r w:rsidR="00DA0599">
        <w:rPr>
          <w:i/>
          <w:color w:val="000000"/>
          <w:sz w:val="22"/>
          <w:szCs w:val="22"/>
        </w:rPr>
        <w:t>x</w:t>
      </w:r>
      <w:r w:rsidRPr="005A5061">
        <w:rPr>
          <w:i/>
          <w:color w:val="000000"/>
          <w:sz w:val="22"/>
          <w:szCs w:val="22"/>
        </w:rPr>
        <w:t xml:space="preserve"> revues (papier et numérique)</w:t>
      </w:r>
      <w:r w:rsidR="005A5061" w:rsidRPr="005A5061">
        <w:rPr>
          <w:i/>
          <w:color w:val="000000"/>
          <w:sz w:val="22"/>
          <w:szCs w:val="22"/>
        </w:rPr>
        <w:t xml:space="preserve">. </w:t>
      </w:r>
    </w:p>
    <w:p w:rsidR="00640543" w:rsidRPr="004E2B46" w:rsidRDefault="00640543" w:rsidP="00640543">
      <w:pPr>
        <w:tabs>
          <w:tab w:val="left" w:pos="993"/>
        </w:tabs>
        <w:spacing w:after="120"/>
        <w:ind w:left="57"/>
        <w:jc w:val="both"/>
        <w:rPr>
          <w:b/>
          <w:bCs/>
          <w:u w:val="single"/>
        </w:rPr>
      </w:pPr>
      <w:r w:rsidRPr="00132398">
        <w:sym w:font="Wingdings" w:char="F040"/>
      </w:r>
      <w:r w:rsidRPr="004E2B46">
        <w:rPr>
          <w:b/>
          <w:bCs/>
          <w:u w:val="single"/>
        </w:rPr>
        <w:t xml:space="preserve"> </w:t>
      </w:r>
      <w:r>
        <w:rPr>
          <w:b/>
          <w:bCs/>
          <w:u w:val="single"/>
        </w:rPr>
        <w:t xml:space="preserve">Bilan des stagiaires </w:t>
      </w:r>
    </w:p>
    <w:p w:rsidR="00640543" w:rsidRDefault="00640543" w:rsidP="00303B06">
      <w:pPr>
        <w:ind w:left="57"/>
        <w:jc w:val="both"/>
        <w:rPr>
          <w:color w:val="000000"/>
          <w:sz w:val="22"/>
          <w:szCs w:val="22"/>
        </w:rPr>
      </w:pPr>
      <w:r>
        <w:rPr>
          <w:color w:val="000000"/>
          <w:sz w:val="22"/>
          <w:szCs w:val="22"/>
        </w:rPr>
        <w:t>Un bilan sur l’accueil des stagiaires à la R&amp;D au cours de l’année 2013 a été présenté.</w:t>
      </w:r>
      <w:r w:rsidR="002D0110">
        <w:rPr>
          <w:color w:val="000000"/>
          <w:sz w:val="22"/>
          <w:szCs w:val="22"/>
        </w:rPr>
        <w:t xml:space="preserve"> </w:t>
      </w:r>
      <w:r w:rsidR="00F230A5" w:rsidRPr="00F230A5">
        <w:rPr>
          <w:b/>
          <w:color w:val="000000"/>
          <w:sz w:val="22"/>
          <w:szCs w:val="22"/>
        </w:rPr>
        <w:t>451 stagiaires</w:t>
      </w:r>
      <w:r>
        <w:rPr>
          <w:color w:val="000000"/>
          <w:sz w:val="22"/>
          <w:szCs w:val="22"/>
        </w:rPr>
        <w:t xml:space="preserve"> </w:t>
      </w:r>
      <w:r w:rsidR="002D0110">
        <w:rPr>
          <w:color w:val="000000"/>
          <w:sz w:val="22"/>
          <w:szCs w:val="22"/>
        </w:rPr>
        <w:t xml:space="preserve">de tous niveaux ont été </w:t>
      </w:r>
      <w:r w:rsidR="00F230A5" w:rsidRPr="00F230A5">
        <w:rPr>
          <w:b/>
          <w:color w:val="000000"/>
          <w:sz w:val="22"/>
          <w:szCs w:val="22"/>
        </w:rPr>
        <w:t>accueillis à la R&amp;D en 2013</w:t>
      </w:r>
      <w:r w:rsidR="002D0110">
        <w:rPr>
          <w:color w:val="000000"/>
          <w:sz w:val="22"/>
          <w:szCs w:val="22"/>
        </w:rPr>
        <w:t xml:space="preserve">. Les </w:t>
      </w:r>
      <w:r w:rsidR="00F02B16">
        <w:rPr>
          <w:color w:val="000000"/>
          <w:sz w:val="22"/>
          <w:szCs w:val="22"/>
        </w:rPr>
        <w:t>figures</w:t>
      </w:r>
      <w:r w:rsidR="002D0110">
        <w:rPr>
          <w:color w:val="000000"/>
          <w:sz w:val="22"/>
          <w:szCs w:val="22"/>
        </w:rPr>
        <w:t xml:space="preserve"> ci-dessous présente</w:t>
      </w:r>
      <w:r w:rsidR="00F02B16">
        <w:rPr>
          <w:color w:val="000000"/>
          <w:sz w:val="22"/>
          <w:szCs w:val="22"/>
        </w:rPr>
        <w:t>nt</w:t>
      </w:r>
      <w:r w:rsidR="002D0110">
        <w:rPr>
          <w:color w:val="000000"/>
          <w:sz w:val="22"/>
          <w:szCs w:val="22"/>
        </w:rPr>
        <w:t xml:space="preserve"> </w:t>
      </w:r>
      <w:r w:rsidR="00F02B16">
        <w:rPr>
          <w:color w:val="000000"/>
          <w:sz w:val="22"/>
          <w:szCs w:val="22"/>
        </w:rPr>
        <w:t>la répartition par collège et par sexe de ces stagiaires ainsi que la répartition par niveau d’étude</w:t>
      </w:r>
      <w:r w:rsidR="009120AA">
        <w:rPr>
          <w:color w:val="000000"/>
          <w:sz w:val="22"/>
          <w:szCs w:val="22"/>
        </w:rPr>
        <w:t>.</w:t>
      </w:r>
    </w:p>
    <w:p w:rsidR="00D515A0" w:rsidRDefault="00D515A0" w:rsidP="00D515A0">
      <w:pPr>
        <w:spacing w:after="120"/>
        <w:ind w:left="57"/>
        <w:jc w:val="both"/>
        <w:rPr>
          <w:color w:val="000000"/>
          <w:sz w:val="22"/>
          <w:szCs w:val="22"/>
        </w:rPr>
      </w:pPr>
      <w:r w:rsidRPr="00D515A0">
        <w:rPr>
          <w:noProof/>
          <w:color w:val="000000"/>
          <w:sz w:val="22"/>
          <w:szCs w:val="22"/>
        </w:rPr>
        <w:drawing>
          <wp:inline distT="0" distB="0" distL="0" distR="0">
            <wp:extent cx="3146425" cy="2067629"/>
            <wp:effectExtent l="19050" t="0" r="0" b="0"/>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146425" cy="2067629"/>
                    </a:xfrm>
                    <a:prstGeom prst="rect">
                      <a:avLst/>
                    </a:prstGeom>
                    <a:noFill/>
                    <a:ln w="9525">
                      <a:noFill/>
                      <a:miter lim="800000"/>
                      <a:headEnd/>
                      <a:tailEnd/>
                    </a:ln>
                  </pic:spPr>
                </pic:pic>
              </a:graphicData>
            </a:graphic>
          </wp:inline>
        </w:drawing>
      </w:r>
    </w:p>
    <w:p w:rsidR="00F02B16" w:rsidRDefault="00F02B16" w:rsidP="00640543">
      <w:pPr>
        <w:spacing w:after="120"/>
        <w:ind w:left="57"/>
        <w:jc w:val="both"/>
        <w:rPr>
          <w:color w:val="000000"/>
          <w:sz w:val="22"/>
          <w:szCs w:val="22"/>
        </w:rPr>
      </w:pPr>
      <w:r>
        <w:rPr>
          <w:noProof/>
          <w:color w:val="000000"/>
          <w:sz w:val="22"/>
          <w:szCs w:val="22"/>
        </w:rPr>
        <w:drawing>
          <wp:inline distT="0" distB="0" distL="0" distR="0">
            <wp:extent cx="3146425" cy="132694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146425" cy="1326945"/>
                    </a:xfrm>
                    <a:prstGeom prst="rect">
                      <a:avLst/>
                    </a:prstGeom>
                    <a:noFill/>
                    <a:ln w="9525">
                      <a:noFill/>
                      <a:miter lim="800000"/>
                      <a:headEnd/>
                      <a:tailEnd/>
                    </a:ln>
                  </pic:spPr>
                </pic:pic>
              </a:graphicData>
            </a:graphic>
          </wp:inline>
        </w:drawing>
      </w:r>
    </w:p>
    <w:p w:rsidR="009120AA" w:rsidRPr="00A02364" w:rsidRDefault="009120AA" w:rsidP="00640543">
      <w:pPr>
        <w:spacing w:after="120"/>
        <w:ind w:left="57"/>
        <w:jc w:val="both"/>
        <w:rPr>
          <w:b/>
          <w:color w:val="000000"/>
          <w:sz w:val="16"/>
          <w:szCs w:val="16"/>
        </w:rPr>
      </w:pPr>
      <w:r w:rsidRPr="00A02364">
        <w:rPr>
          <w:b/>
          <w:color w:val="000000"/>
          <w:sz w:val="16"/>
          <w:szCs w:val="16"/>
        </w:rPr>
        <w:lastRenderedPageBreak/>
        <w:t>(Rq</w:t>
      </w:r>
      <w:r w:rsidR="00131292">
        <w:rPr>
          <w:b/>
          <w:color w:val="000000"/>
          <w:sz w:val="16"/>
          <w:szCs w:val="16"/>
        </w:rPr>
        <w:t>ue</w:t>
      </w:r>
      <w:r w:rsidRPr="00A02364">
        <w:rPr>
          <w:b/>
          <w:color w:val="000000"/>
          <w:sz w:val="16"/>
          <w:szCs w:val="16"/>
        </w:rPr>
        <w:t> : le collège de rattachement correspond au dernier diplôme obtenu et non au diplôme en cours de préparation, c’est pourquoi les élèves ingénieurs apparaissent dans le collège maitrise)</w:t>
      </w:r>
    </w:p>
    <w:p w:rsidR="00A63A1A" w:rsidRPr="00484286" w:rsidRDefault="00F02B16" w:rsidP="00A63A1A">
      <w:pPr>
        <w:spacing w:after="120"/>
        <w:ind w:left="57"/>
        <w:jc w:val="both"/>
        <w:rPr>
          <w:color w:val="000000"/>
          <w:sz w:val="22"/>
          <w:szCs w:val="22"/>
        </w:rPr>
      </w:pPr>
      <w:r w:rsidRPr="00484286">
        <w:rPr>
          <w:color w:val="000000"/>
          <w:sz w:val="22"/>
          <w:szCs w:val="22"/>
        </w:rPr>
        <w:t>En 2013, l</w:t>
      </w:r>
      <w:r w:rsidR="00580171" w:rsidRPr="00484286">
        <w:rPr>
          <w:color w:val="000000"/>
          <w:sz w:val="22"/>
          <w:szCs w:val="22"/>
        </w:rPr>
        <w:t xml:space="preserve">e nombre de </w:t>
      </w:r>
      <w:r w:rsidRPr="00484286">
        <w:rPr>
          <w:color w:val="000000"/>
          <w:sz w:val="22"/>
          <w:szCs w:val="22"/>
        </w:rPr>
        <w:t>stagiaires</w:t>
      </w:r>
      <w:r w:rsidR="00237E4B">
        <w:rPr>
          <w:color w:val="000000"/>
          <w:sz w:val="22"/>
          <w:szCs w:val="22"/>
        </w:rPr>
        <w:t>,</w:t>
      </w:r>
      <w:r w:rsidRPr="00484286">
        <w:rPr>
          <w:color w:val="000000"/>
          <w:sz w:val="22"/>
          <w:szCs w:val="22"/>
        </w:rPr>
        <w:t xml:space="preserve"> </w:t>
      </w:r>
      <w:r w:rsidR="00D515A0">
        <w:rPr>
          <w:color w:val="000000"/>
          <w:sz w:val="22"/>
          <w:szCs w:val="22"/>
        </w:rPr>
        <w:t>ayant fait leur stage à EDF</w:t>
      </w:r>
      <w:r w:rsidR="00237E4B">
        <w:rPr>
          <w:color w:val="000000"/>
          <w:sz w:val="22"/>
          <w:szCs w:val="22"/>
        </w:rPr>
        <w:t>,</w:t>
      </w:r>
      <w:r w:rsidR="00D515A0">
        <w:rPr>
          <w:color w:val="000000"/>
          <w:sz w:val="22"/>
          <w:szCs w:val="22"/>
        </w:rPr>
        <w:t xml:space="preserve"> </w:t>
      </w:r>
      <w:r w:rsidRPr="00484286">
        <w:rPr>
          <w:color w:val="000000"/>
          <w:sz w:val="22"/>
          <w:szCs w:val="22"/>
        </w:rPr>
        <w:t xml:space="preserve">recrutés </w:t>
      </w:r>
      <w:r w:rsidR="00580171" w:rsidRPr="00484286">
        <w:rPr>
          <w:color w:val="000000"/>
          <w:sz w:val="22"/>
          <w:szCs w:val="22"/>
        </w:rPr>
        <w:t>à la R&amp;D représentent 10% du total des embauches. Parmi eux, 5 ont fait leur stage à la R&amp;D, 3 à DPI, 1 à ERDF et 1 à SEI.</w:t>
      </w:r>
    </w:p>
    <w:p w:rsidR="00F02B16" w:rsidRPr="00484286" w:rsidRDefault="00FC786B" w:rsidP="00A63A1A">
      <w:pPr>
        <w:spacing w:after="120"/>
        <w:ind w:left="57"/>
        <w:jc w:val="both"/>
        <w:rPr>
          <w:i/>
          <w:color w:val="000000"/>
          <w:sz w:val="22"/>
          <w:szCs w:val="22"/>
        </w:rPr>
      </w:pPr>
      <w:r w:rsidRPr="00484286">
        <w:rPr>
          <w:i/>
          <w:color w:val="000000"/>
          <w:sz w:val="22"/>
          <w:szCs w:val="22"/>
        </w:rPr>
        <w:t>La CGT constate qu’en 2013, l’effectif des stagiaire</w:t>
      </w:r>
      <w:r w:rsidR="008E5C69" w:rsidRPr="00484286">
        <w:rPr>
          <w:i/>
          <w:color w:val="000000"/>
          <w:sz w:val="22"/>
          <w:szCs w:val="22"/>
        </w:rPr>
        <w:t>s</w:t>
      </w:r>
      <w:r w:rsidRPr="00484286">
        <w:rPr>
          <w:i/>
          <w:color w:val="000000"/>
          <w:sz w:val="22"/>
          <w:szCs w:val="22"/>
        </w:rPr>
        <w:t xml:space="preserve"> R&amp;D à représenté 21% de l’effectif total de la R&amp;D alors que le taux d’embauche ne représente que </w:t>
      </w:r>
      <w:r w:rsidR="00F230A5" w:rsidRPr="00F230A5">
        <w:rPr>
          <w:b/>
          <w:i/>
          <w:color w:val="000000"/>
          <w:sz w:val="22"/>
          <w:szCs w:val="22"/>
        </w:rPr>
        <w:t>1% des stagiaires accueillis</w:t>
      </w:r>
      <w:r w:rsidR="00131292">
        <w:rPr>
          <w:i/>
          <w:color w:val="000000"/>
          <w:sz w:val="22"/>
          <w:szCs w:val="22"/>
        </w:rPr>
        <w:t xml:space="preserve"> </w:t>
      </w:r>
      <w:r w:rsidRPr="00484286">
        <w:rPr>
          <w:i/>
          <w:color w:val="000000"/>
          <w:sz w:val="22"/>
          <w:szCs w:val="22"/>
        </w:rPr>
        <w:t xml:space="preserve">(5 sur 451). </w:t>
      </w:r>
      <w:r w:rsidR="008E5C69" w:rsidRPr="00484286">
        <w:rPr>
          <w:i/>
          <w:color w:val="000000"/>
          <w:sz w:val="22"/>
          <w:szCs w:val="22"/>
        </w:rPr>
        <w:t xml:space="preserve">On peut donc se </w:t>
      </w:r>
      <w:r w:rsidR="00A25024" w:rsidRPr="00484286">
        <w:rPr>
          <w:i/>
          <w:color w:val="000000"/>
          <w:sz w:val="22"/>
          <w:szCs w:val="22"/>
        </w:rPr>
        <w:t xml:space="preserve">demander si les stagiaires ne sont pas </w:t>
      </w:r>
      <w:r w:rsidR="00237E4B">
        <w:rPr>
          <w:i/>
          <w:color w:val="000000"/>
          <w:sz w:val="22"/>
          <w:szCs w:val="22"/>
        </w:rPr>
        <w:t xml:space="preserve">trop </w:t>
      </w:r>
      <w:r w:rsidR="00A25024" w:rsidRPr="00484286">
        <w:rPr>
          <w:i/>
          <w:color w:val="000000"/>
          <w:sz w:val="22"/>
          <w:szCs w:val="22"/>
        </w:rPr>
        <w:t>utilisés pour réaliser une partie de l’activité de recherche alors qu’ils devraient normalement être en entreprise pour se former.</w:t>
      </w:r>
      <w:r w:rsidR="00CC01C5" w:rsidRPr="00484286">
        <w:rPr>
          <w:i/>
          <w:color w:val="000000"/>
          <w:sz w:val="22"/>
          <w:szCs w:val="22"/>
        </w:rPr>
        <w:t xml:space="preserve"> </w:t>
      </w:r>
      <w:r w:rsidR="009120AA" w:rsidRPr="00484286">
        <w:rPr>
          <w:i/>
          <w:color w:val="000000"/>
          <w:sz w:val="22"/>
          <w:szCs w:val="22"/>
        </w:rPr>
        <w:t>La question de la revalorisation des indemnités de stage a aussi été soulevée par la CGT.</w:t>
      </w:r>
    </w:p>
    <w:p w:rsidR="00CC01C5" w:rsidRPr="00484286" w:rsidRDefault="00CC01C5" w:rsidP="00A63A1A">
      <w:pPr>
        <w:spacing w:after="120"/>
        <w:ind w:left="57"/>
        <w:jc w:val="both"/>
        <w:rPr>
          <w:i/>
          <w:color w:val="000000"/>
          <w:sz w:val="22"/>
          <w:szCs w:val="22"/>
        </w:rPr>
      </w:pPr>
      <w:r w:rsidRPr="00484286">
        <w:rPr>
          <w:i/>
          <w:color w:val="000000"/>
          <w:sz w:val="22"/>
          <w:szCs w:val="22"/>
        </w:rPr>
        <w:t>Le</w:t>
      </w:r>
      <w:r w:rsidR="009120AA" w:rsidRPr="00484286">
        <w:rPr>
          <w:i/>
          <w:color w:val="000000"/>
          <w:sz w:val="22"/>
          <w:szCs w:val="22"/>
        </w:rPr>
        <w:t xml:space="preserve"> faible</w:t>
      </w:r>
      <w:r w:rsidRPr="00484286">
        <w:rPr>
          <w:i/>
          <w:color w:val="000000"/>
          <w:sz w:val="22"/>
          <w:szCs w:val="22"/>
        </w:rPr>
        <w:t xml:space="preserve"> taux de féminisation </w:t>
      </w:r>
      <w:r w:rsidR="009120AA" w:rsidRPr="00484286">
        <w:rPr>
          <w:i/>
          <w:color w:val="000000"/>
          <w:sz w:val="22"/>
          <w:szCs w:val="22"/>
        </w:rPr>
        <w:t xml:space="preserve">notamment pour les stages de fin d’étude ingénieur et de master 2 (collège maitrise dans le graphe ci-dessus) </w:t>
      </w:r>
      <w:r w:rsidR="00303B06">
        <w:rPr>
          <w:i/>
          <w:color w:val="000000"/>
          <w:sz w:val="22"/>
          <w:szCs w:val="22"/>
        </w:rPr>
        <w:t>a été dénoncé</w:t>
      </w:r>
      <w:r w:rsidR="009120AA" w:rsidRPr="00484286">
        <w:rPr>
          <w:i/>
          <w:color w:val="000000"/>
          <w:sz w:val="22"/>
          <w:szCs w:val="22"/>
        </w:rPr>
        <w:t xml:space="preserve">. </w:t>
      </w:r>
    </w:p>
    <w:p w:rsidR="009120AA" w:rsidRPr="00484286" w:rsidRDefault="00484286" w:rsidP="00A63A1A">
      <w:pPr>
        <w:spacing w:after="120"/>
        <w:ind w:left="57"/>
        <w:jc w:val="both"/>
        <w:rPr>
          <w:i/>
          <w:color w:val="000000"/>
          <w:sz w:val="22"/>
          <w:szCs w:val="22"/>
        </w:rPr>
      </w:pPr>
      <w:r w:rsidRPr="00484286">
        <w:rPr>
          <w:i/>
          <w:color w:val="000000"/>
          <w:sz w:val="22"/>
          <w:szCs w:val="22"/>
        </w:rPr>
        <w:t>Les organisations syndicales ont à nouveau fait remonter les problèmes liés à la dotation informatique des stagiaires qui ont été particulièrement important</w:t>
      </w:r>
      <w:r w:rsidR="00DA0599">
        <w:rPr>
          <w:i/>
          <w:color w:val="000000"/>
          <w:sz w:val="22"/>
          <w:szCs w:val="22"/>
        </w:rPr>
        <w:t>s</w:t>
      </w:r>
      <w:r w:rsidRPr="00484286">
        <w:rPr>
          <w:i/>
          <w:color w:val="000000"/>
          <w:sz w:val="22"/>
          <w:szCs w:val="22"/>
        </w:rPr>
        <w:t xml:space="preserve"> cette année. Certains stagiaires ont attendu plusieurs semaines avant d’avoir un poste informatique</w:t>
      </w:r>
      <w:r w:rsidR="00237E4B">
        <w:rPr>
          <w:i/>
          <w:color w:val="000000"/>
          <w:sz w:val="22"/>
          <w:szCs w:val="22"/>
        </w:rPr>
        <w:t xml:space="preserve"> valide</w:t>
      </w:r>
      <w:r w:rsidRPr="00484286">
        <w:rPr>
          <w:i/>
          <w:color w:val="000000"/>
          <w:sz w:val="22"/>
          <w:szCs w:val="22"/>
        </w:rPr>
        <w:t>.</w:t>
      </w:r>
    </w:p>
    <w:p w:rsidR="00484286" w:rsidRPr="004E2B46" w:rsidRDefault="00484286" w:rsidP="00484286">
      <w:pPr>
        <w:tabs>
          <w:tab w:val="left" w:pos="993"/>
        </w:tabs>
        <w:spacing w:after="120"/>
        <w:ind w:left="57"/>
        <w:jc w:val="both"/>
        <w:rPr>
          <w:b/>
          <w:bCs/>
          <w:u w:val="single"/>
        </w:rPr>
      </w:pPr>
      <w:r w:rsidRPr="00132398">
        <w:sym w:font="Wingdings" w:char="F040"/>
      </w:r>
      <w:r w:rsidRPr="004E2B46">
        <w:rPr>
          <w:b/>
          <w:bCs/>
          <w:u w:val="single"/>
        </w:rPr>
        <w:t xml:space="preserve"> </w:t>
      </w:r>
      <w:r>
        <w:rPr>
          <w:b/>
          <w:bCs/>
          <w:u w:val="single"/>
        </w:rPr>
        <w:t xml:space="preserve">GPEC trimestrielle </w:t>
      </w:r>
    </w:p>
    <w:p w:rsidR="00484286" w:rsidRPr="0021407A" w:rsidRDefault="00484286" w:rsidP="00A63A1A">
      <w:pPr>
        <w:spacing w:after="120"/>
        <w:ind w:left="57"/>
        <w:jc w:val="both"/>
        <w:rPr>
          <w:color w:val="000000"/>
          <w:sz w:val="22"/>
          <w:szCs w:val="22"/>
        </w:rPr>
      </w:pPr>
      <w:r w:rsidRPr="0021407A">
        <w:rPr>
          <w:color w:val="000000"/>
          <w:sz w:val="22"/>
          <w:szCs w:val="22"/>
        </w:rPr>
        <w:t xml:space="preserve">La </w:t>
      </w:r>
      <w:r w:rsidR="00F230A5" w:rsidRPr="00F230A5">
        <w:rPr>
          <w:b/>
          <w:color w:val="000000"/>
          <w:sz w:val="22"/>
          <w:szCs w:val="22"/>
        </w:rPr>
        <w:t>cible</w:t>
      </w:r>
      <w:r w:rsidRPr="0021407A">
        <w:rPr>
          <w:color w:val="000000"/>
          <w:sz w:val="22"/>
          <w:szCs w:val="22"/>
        </w:rPr>
        <w:t xml:space="preserve"> </w:t>
      </w:r>
      <w:r w:rsidR="00237E4B">
        <w:rPr>
          <w:color w:val="000000"/>
          <w:sz w:val="22"/>
          <w:szCs w:val="22"/>
        </w:rPr>
        <w:t xml:space="preserve">d'effectif </w:t>
      </w:r>
      <w:r w:rsidRPr="0021407A">
        <w:rPr>
          <w:color w:val="000000"/>
          <w:sz w:val="22"/>
          <w:szCs w:val="22"/>
        </w:rPr>
        <w:t xml:space="preserve">pour la fin 2014 est de </w:t>
      </w:r>
      <w:r w:rsidR="00F230A5" w:rsidRPr="00F230A5">
        <w:rPr>
          <w:b/>
          <w:color w:val="000000"/>
          <w:sz w:val="22"/>
          <w:szCs w:val="22"/>
        </w:rPr>
        <w:t>2125 agents</w:t>
      </w:r>
      <w:r w:rsidR="00237E4B">
        <w:rPr>
          <w:color w:val="000000"/>
          <w:sz w:val="22"/>
          <w:szCs w:val="22"/>
        </w:rPr>
        <w:t xml:space="preserve"> </w:t>
      </w:r>
      <w:r w:rsidRPr="0021407A">
        <w:rPr>
          <w:color w:val="000000"/>
          <w:sz w:val="22"/>
          <w:szCs w:val="22"/>
        </w:rPr>
        <w:t xml:space="preserve">et à fin juin, </w:t>
      </w:r>
      <w:r w:rsidR="00F230A5" w:rsidRPr="00F230A5">
        <w:rPr>
          <w:b/>
          <w:color w:val="000000"/>
          <w:sz w:val="22"/>
          <w:szCs w:val="22"/>
        </w:rPr>
        <w:t>nous en sommes à 2093</w:t>
      </w:r>
      <w:r w:rsidRPr="0021407A">
        <w:rPr>
          <w:color w:val="000000"/>
          <w:sz w:val="22"/>
          <w:szCs w:val="22"/>
        </w:rPr>
        <w:t>. La direction signale que 100 embauches sont prévues pour 2014.</w:t>
      </w:r>
    </w:p>
    <w:p w:rsidR="00484286" w:rsidRPr="004E2B46" w:rsidRDefault="00484286" w:rsidP="00484286">
      <w:pPr>
        <w:tabs>
          <w:tab w:val="left" w:pos="993"/>
        </w:tabs>
        <w:spacing w:after="120"/>
        <w:ind w:left="57"/>
        <w:jc w:val="both"/>
        <w:rPr>
          <w:b/>
          <w:bCs/>
          <w:u w:val="single"/>
        </w:rPr>
      </w:pPr>
      <w:r w:rsidRPr="00132398">
        <w:sym w:font="Wingdings" w:char="F040"/>
      </w:r>
      <w:r w:rsidRPr="004E2B46">
        <w:rPr>
          <w:b/>
          <w:bCs/>
          <w:u w:val="single"/>
        </w:rPr>
        <w:t xml:space="preserve"> </w:t>
      </w:r>
      <w:r>
        <w:rPr>
          <w:b/>
          <w:bCs/>
          <w:u w:val="single"/>
        </w:rPr>
        <w:t xml:space="preserve">Questions diverses </w:t>
      </w:r>
    </w:p>
    <w:p w:rsidR="00484286" w:rsidRPr="0021407A" w:rsidRDefault="00237E4B" w:rsidP="00484286">
      <w:pPr>
        <w:spacing w:after="120"/>
        <w:ind w:left="57"/>
        <w:jc w:val="both"/>
        <w:rPr>
          <w:color w:val="000000"/>
          <w:sz w:val="22"/>
          <w:szCs w:val="22"/>
        </w:rPr>
      </w:pPr>
      <w:r>
        <w:rPr>
          <w:color w:val="000000"/>
          <w:sz w:val="22"/>
          <w:szCs w:val="22"/>
        </w:rPr>
        <w:t>Une OS</w:t>
      </w:r>
      <w:r w:rsidR="00484286" w:rsidRPr="0021407A">
        <w:rPr>
          <w:color w:val="000000"/>
          <w:sz w:val="22"/>
          <w:szCs w:val="22"/>
        </w:rPr>
        <w:t xml:space="preserve"> demande à qui doivent s’adresser les agents de Clamart qui souhaitent </w:t>
      </w:r>
      <w:r w:rsidR="00F230A5" w:rsidRPr="00F230A5">
        <w:rPr>
          <w:b/>
          <w:color w:val="000000"/>
          <w:sz w:val="22"/>
          <w:szCs w:val="22"/>
        </w:rPr>
        <w:t>déménager</w:t>
      </w:r>
      <w:r w:rsidR="00484286" w:rsidRPr="0021407A">
        <w:rPr>
          <w:color w:val="000000"/>
          <w:sz w:val="22"/>
          <w:szCs w:val="22"/>
        </w:rPr>
        <w:t xml:space="preserve"> pour quantifier les </w:t>
      </w:r>
      <w:r w:rsidR="00F230A5" w:rsidRPr="00F230A5">
        <w:rPr>
          <w:b/>
          <w:color w:val="000000"/>
          <w:sz w:val="22"/>
          <w:szCs w:val="22"/>
        </w:rPr>
        <w:t>aides auxquelles ils ont droit</w:t>
      </w:r>
      <w:r w:rsidR="00484286" w:rsidRPr="0021407A">
        <w:rPr>
          <w:color w:val="000000"/>
          <w:sz w:val="22"/>
          <w:szCs w:val="22"/>
        </w:rPr>
        <w:t xml:space="preserve">. </w:t>
      </w:r>
      <w:r w:rsidR="0021407A" w:rsidRPr="0021407A">
        <w:rPr>
          <w:color w:val="000000"/>
          <w:sz w:val="22"/>
          <w:szCs w:val="22"/>
        </w:rPr>
        <w:t>La direction précise qu’il faut dans un premier temps s’adresser au CRH pour avoir un ordre de grandeur et que dès que le déménagement se précise, un calcul précis sera effectué.</w:t>
      </w:r>
    </w:p>
    <w:p w:rsidR="00484286" w:rsidRDefault="0021407A" w:rsidP="00A63A1A">
      <w:pPr>
        <w:spacing w:after="120"/>
        <w:ind w:left="57"/>
        <w:jc w:val="both"/>
        <w:rPr>
          <w:color w:val="000000"/>
          <w:sz w:val="22"/>
          <w:szCs w:val="22"/>
        </w:rPr>
      </w:pPr>
      <w:r>
        <w:rPr>
          <w:color w:val="000000"/>
          <w:sz w:val="22"/>
          <w:szCs w:val="22"/>
        </w:rPr>
        <w:t>La direction précise que les dispositions de l’accord s’appliqueront aussi aux agents de Chatou concernés par le déménagement de l’IPVF prévu en 2016. Une adaptation sera tout de même nécessaire car le point de départ géographique est différent.</w:t>
      </w:r>
    </w:p>
    <w:p w:rsidR="0021407A" w:rsidRPr="0021407A" w:rsidRDefault="009F17D4" w:rsidP="00A63A1A">
      <w:pPr>
        <w:spacing w:after="120"/>
        <w:ind w:left="57"/>
        <w:jc w:val="both"/>
        <w:rPr>
          <w:color w:val="000000"/>
          <w:sz w:val="22"/>
          <w:szCs w:val="22"/>
        </w:rPr>
      </w:pPr>
      <w:r>
        <w:rPr>
          <w:color w:val="000000"/>
          <w:sz w:val="22"/>
          <w:szCs w:val="22"/>
        </w:rPr>
        <w:t xml:space="preserve">Suite à l’annonce de la suppression d’un poste d’assistante au LME, la CGT dénonce la </w:t>
      </w:r>
      <w:r w:rsidR="00F230A5" w:rsidRPr="00F230A5">
        <w:rPr>
          <w:b/>
          <w:color w:val="000000"/>
          <w:sz w:val="22"/>
          <w:szCs w:val="22"/>
        </w:rPr>
        <w:t>baisse croissante du nombre d’assistantes</w:t>
      </w:r>
      <w:r>
        <w:rPr>
          <w:color w:val="000000"/>
          <w:sz w:val="22"/>
          <w:szCs w:val="22"/>
        </w:rPr>
        <w:t xml:space="preserve"> dans les départements de la R&amp;D et rappelle qu’une enquête du CCE montre que « face aux transformations des métiers tertiaires, les agents tous métiers confondus, subissent des tensions induites par la tertiarisation des tâches du quotidien ».</w:t>
      </w:r>
    </w:p>
    <w:p w:rsidR="00070F32" w:rsidRDefault="00E830CF" w:rsidP="00241696">
      <w:pPr>
        <w:pStyle w:val="Corpsdetexte2"/>
        <w:pBdr>
          <w:top w:val="double" w:sz="6" w:space="3" w:color="auto"/>
          <w:bottom w:val="double" w:sz="6" w:space="0" w:color="auto"/>
        </w:pBdr>
        <w:tabs>
          <w:tab w:val="clear" w:pos="1440"/>
          <w:tab w:val="clear" w:pos="4320"/>
        </w:tabs>
        <w:spacing w:before="100" w:beforeAutospacing="1"/>
        <w:ind w:left="57"/>
        <w:jc w:val="both"/>
        <w:rPr>
          <w:sz w:val="22"/>
        </w:rPr>
      </w:pPr>
      <w:r>
        <w:rPr>
          <w:sz w:val="22"/>
        </w:rPr>
        <w:sym w:font="Wingdings" w:char="F0E8"/>
      </w:r>
      <w:r>
        <w:rPr>
          <w:sz w:val="22"/>
        </w:rPr>
        <w:t xml:space="preserve"> Prochain CE, le </w:t>
      </w:r>
      <w:r w:rsidR="00A45944">
        <w:rPr>
          <w:sz w:val="22"/>
        </w:rPr>
        <w:t>mardi</w:t>
      </w:r>
      <w:r w:rsidR="00394908">
        <w:rPr>
          <w:sz w:val="22"/>
        </w:rPr>
        <w:t xml:space="preserve"> </w:t>
      </w:r>
      <w:r w:rsidR="004D0E81">
        <w:rPr>
          <w:sz w:val="22"/>
        </w:rPr>
        <w:t>2</w:t>
      </w:r>
      <w:r w:rsidR="00E30048">
        <w:rPr>
          <w:sz w:val="22"/>
        </w:rPr>
        <w:t>8</w:t>
      </w:r>
      <w:r w:rsidR="00361F0E">
        <w:rPr>
          <w:sz w:val="22"/>
        </w:rPr>
        <w:t>/</w:t>
      </w:r>
      <w:r w:rsidR="00A45944">
        <w:rPr>
          <w:sz w:val="22"/>
        </w:rPr>
        <w:t>0</w:t>
      </w:r>
      <w:r w:rsidR="004D0E81">
        <w:rPr>
          <w:sz w:val="22"/>
        </w:rPr>
        <w:t>8</w:t>
      </w:r>
      <w:r w:rsidR="00C35213">
        <w:rPr>
          <w:sz w:val="22"/>
        </w:rPr>
        <w:t xml:space="preserve">/2014 </w:t>
      </w:r>
      <w:r w:rsidR="00DA0599">
        <w:rPr>
          <w:sz w:val="22"/>
        </w:rPr>
        <w:t xml:space="preserve">à </w:t>
      </w:r>
      <w:r w:rsidR="004D0E81">
        <w:rPr>
          <w:sz w:val="22"/>
        </w:rPr>
        <w:t>Clamart</w:t>
      </w:r>
    </w:p>
    <w:sectPr w:rsidR="00070F32" w:rsidSect="008C6ED4">
      <w:footerReference w:type="first" r:id="rId17"/>
      <w:type w:val="continuous"/>
      <w:pgSz w:w="12240" w:h="15840" w:code="122"/>
      <w:pgMar w:top="284" w:right="720" w:bottom="899" w:left="900" w:header="540" w:footer="454" w:gutter="0"/>
      <w:cols w:num="2" w:space="709"/>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5E" w:rsidRDefault="00614D5E">
      <w:r>
        <w:separator/>
      </w:r>
    </w:p>
  </w:endnote>
  <w:endnote w:type="continuationSeparator" w:id="0">
    <w:p w:rsidR="00614D5E" w:rsidRDefault="00614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DF">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A" w:rsidRDefault="0021407A">
    <w:pPr>
      <w:pStyle w:val="Normalcentr"/>
      <w:ind w:left="0"/>
      <w:rPr>
        <w:sz w:val="18"/>
      </w:rPr>
    </w:pPr>
    <w:r>
      <w:rPr>
        <w:sz w:val="18"/>
      </w:rPr>
      <w:t>Comptes rendus complets du CE d’EDF R&amp;D sur Vivre Edf On line / Communauté Recherche et développement / Bibliothèque documents / Tous les documents / RH / relations sociales / Comité d'établissement 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2" w:type="dxa"/>
      <w:tblLayout w:type="fixed"/>
      <w:tblLook w:val="04A0"/>
    </w:tblPr>
    <w:tblGrid>
      <w:gridCol w:w="2943"/>
      <w:gridCol w:w="1184"/>
      <w:gridCol w:w="1256"/>
      <w:gridCol w:w="1171"/>
      <w:gridCol w:w="1286"/>
      <w:gridCol w:w="1196"/>
      <w:gridCol w:w="1166"/>
    </w:tblGrid>
    <w:tr w:rsidR="0021407A" w:rsidRPr="00EA13F0" w:rsidTr="00EA13F0">
      <w:tc>
        <w:tcPr>
          <w:tcW w:w="10202" w:type="dxa"/>
          <w:gridSpan w:val="7"/>
        </w:tcPr>
        <w:p w:rsidR="0021407A" w:rsidRPr="00EA13F0" w:rsidRDefault="00F230A5" w:rsidP="00EA13F0">
          <w:pPr>
            <w:tabs>
              <w:tab w:val="center" w:pos="4536"/>
              <w:tab w:val="right" w:pos="9072"/>
            </w:tabs>
            <w:jc w:val="center"/>
            <w:rPr>
              <w:sz w:val="20"/>
              <w:szCs w:val="20"/>
            </w:rPr>
          </w:pPr>
          <w:r w:rsidRPr="00F230A5">
            <w:rPr>
              <w:sz w:val="20"/>
              <w:szCs w:val="20"/>
            </w:rPr>
            <w:pict>
              <v:rect id="_x0000_i1025" style="width:0;height:1.5pt" o:hralign="center" o:hrstd="t" o:hr="t" fillcolor="#a0a0a0" stroked="f"/>
            </w:pict>
          </w:r>
        </w:p>
      </w:tc>
    </w:tr>
    <w:tr w:rsidR="0021407A" w:rsidTr="00EA13F0">
      <w:tc>
        <w:tcPr>
          <w:tcW w:w="10202" w:type="dxa"/>
          <w:gridSpan w:val="7"/>
        </w:tcPr>
        <w:p w:rsidR="0021407A" w:rsidRPr="00982404" w:rsidRDefault="0021407A" w:rsidP="00EA13F0">
          <w:pPr>
            <w:tabs>
              <w:tab w:val="center" w:pos="4536"/>
              <w:tab w:val="right" w:pos="9072"/>
            </w:tabs>
            <w:jc w:val="center"/>
          </w:pPr>
          <w:r w:rsidRPr="00982404">
            <w:t>Contacts CGT : Chatou 47 80 64, Clamart 47 52 24, Les Renardières 57 67 64</w:t>
          </w:r>
        </w:p>
      </w:tc>
    </w:tr>
    <w:tr w:rsidR="0021407A" w:rsidTr="00EA13F0">
      <w:tc>
        <w:tcPr>
          <w:tcW w:w="2943" w:type="dxa"/>
          <w:vAlign w:val="center"/>
        </w:tcPr>
        <w:p w:rsidR="0021407A" w:rsidRPr="00982404" w:rsidRDefault="0021407A" w:rsidP="00EA13F0">
          <w:pPr>
            <w:tabs>
              <w:tab w:val="center" w:pos="4536"/>
              <w:tab w:val="right" w:pos="9072"/>
            </w:tabs>
            <w:jc w:val="center"/>
          </w:pPr>
          <w:r w:rsidRPr="00982404">
            <w:t>Vos représentants CGT au comité d'établissement EDF R&amp;D</w:t>
          </w:r>
        </w:p>
      </w:tc>
      <w:tc>
        <w:tcPr>
          <w:tcW w:w="1184" w:type="dxa"/>
        </w:tcPr>
        <w:p w:rsidR="0021407A" w:rsidRDefault="0021407A" w:rsidP="00EA13F0">
          <w:pPr>
            <w:tabs>
              <w:tab w:val="center" w:pos="4536"/>
              <w:tab w:val="right" w:pos="9072"/>
            </w:tabs>
            <w:jc w:val="center"/>
          </w:pPr>
          <w:r>
            <w:rPr>
              <w:noProof/>
            </w:rPr>
            <w:drawing>
              <wp:inline distT="0" distB="0" distL="0" distR="0">
                <wp:extent cx="654685" cy="799465"/>
                <wp:effectExtent l="19050" t="0" r="0" b="0"/>
                <wp:docPr id="4" name="Image 0" descr="R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 B.PNG"/>
                        <pic:cNvPicPr>
                          <a:picLocks noChangeAspect="1" noChangeArrowheads="1"/>
                        </pic:cNvPicPr>
                      </pic:nvPicPr>
                      <pic:blipFill>
                        <a:blip r:embed="rId1"/>
                        <a:srcRect/>
                        <a:stretch>
                          <a:fillRect/>
                        </a:stretch>
                      </pic:blipFill>
                      <pic:spPr bwMode="auto">
                        <a:xfrm>
                          <a:off x="0" y="0"/>
                          <a:ext cx="654685" cy="799465"/>
                        </a:xfrm>
                        <a:prstGeom prst="rect">
                          <a:avLst/>
                        </a:prstGeom>
                        <a:noFill/>
                        <a:ln w="9525">
                          <a:noFill/>
                          <a:miter lim="800000"/>
                          <a:headEnd/>
                          <a:tailEnd/>
                        </a:ln>
                      </pic:spPr>
                    </pic:pic>
                  </a:graphicData>
                </a:graphic>
              </wp:inline>
            </w:drawing>
          </w:r>
          <w:r>
            <w:br/>
            <w:t>RSCE</w:t>
          </w:r>
        </w:p>
      </w:tc>
      <w:tc>
        <w:tcPr>
          <w:tcW w:w="1256" w:type="dxa"/>
        </w:tcPr>
        <w:p w:rsidR="0021407A" w:rsidRDefault="0021407A" w:rsidP="00EA13F0">
          <w:pPr>
            <w:tabs>
              <w:tab w:val="center" w:pos="4536"/>
              <w:tab w:val="right" w:pos="9072"/>
            </w:tabs>
          </w:pPr>
          <w:r>
            <w:rPr>
              <w:noProof/>
            </w:rPr>
            <w:drawing>
              <wp:inline distT="0" distB="0" distL="0" distR="0">
                <wp:extent cx="664845" cy="799465"/>
                <wp:effectExtent l="19050" t="0" r="1905" b="0"/>
                <wp:docPr id="5" name="Image 27" descr="Serge Vi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Serge Vidal.PNG"/>
                        <pic:cNvPicPr>
                          <a:picLocks noChangeAspect="1" noChangeArrowheads="1"/>
                        </pic:cNvPicPr>
                      </pic:nvPicPr>
                      <pic:blipFill>
                        <a:blip r:embed="rId2"/>
                        <a:srcRect/>
                        <a:stretch>
                          <a:fillRect/>
                        </a:stretch>
                      </pic:blipFill>
                      <pic:spPr bwMode="auto">
                        <a:xfrm>
                          <a:off x="0" y="0"/>
                          <a:ext cx="664845" cy="799465"/>
                        </a:xfrm>
                        <a:prstGeom prst="rect">
                          <a:avLst/>
                        </a:prstGeom>
                        <a:noFill/>
                        <a:ln w="9525">
                          <a:noFill/>
                          <a:miter lim="800000"/>
                          <a:headEnd/>
                          <a:tailEnd/>
                        </a:ln>
                      </pic:spPr>
                    </pic:pic>
                  </a:graphicData>
                </a:graphic>
              </wp:inline>
            </w:drawing>
          </w:r>
        </w:p>
      </w:tc>
      <w:tc>
        <w:tcPr>
          <w:tcW w:w="1171" w:type="dxa"/>
        </w:tcPr>
        <w:p w:rsidR="0021407A" w:rsidRDefault="0021407A" w:rsidP="00EA13F0">
          <w:pPr>
            <w:tabs>
              <w:tab w:val="center" w:pos="4536"/>
              <w:tab w:val="right" w:pos="9072"/>
            </w:tabs>
          </w:pPr>
          <w:r>
            <w:rPr>
              <w:noProof/>
            </w:rPr>
            <w:drawing>
              <wp:inline distT="0" distB="0" distL="0" distR="0">
                <wp:extent cx="649605" cy="794385"/>
                <wp:effectExtent l="19050" t="0" r="0" b="0"/>
                <wp:docPr id="6" name="Image 6" descr="IMG_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842"/>
                        <pic:cNvPicPr>
                          <a:picLocks noChangeAspect="1" noChangeArrowheads="1"/>
                        </pic:cNvPicPr>
                      </pic:nvPicPr>
                      <pic:blipFill>
                        <a:blip r:embed="rId3"/>
                        <a:srcRect/>
                        <a:stretch>
                          <a:fillRect/>
                        </a:stretch>
                      </pic:blipFill>
                      <pic:spPr bwMode="auto">
                        <a:xfrm>
                          <a:off x="0" y="0"/>
                          <a:ext cx="649605" cy="794385"/>
                        </a:xfrm>
                        <a:prstGeom prst="rect">
                          <a:avLst/>
                        </a:prstGeom>
                        <a:noFill/>
                        <a:ln w="9525">
                          <a:noFill/>
                          <a:miter lim="800000"/>
                          <a:headEnd/>
                          <a:tailEnd/>
                        </a:ln>
                      </pic:spPr>
                    </pic:pic>
                  </a:graphicData>
                </a:graphic>
              </wp:inline>
            </w:drawing>
          </w:r>
        </w:p>
      </w:tc>
      <w:tc>
        <w:tcPr>
          <w:tcW w:w="1286" w:type="dxa"/>
        </w:tcPr>
        <w:p w:rsidR="0021407A" w:rsidRDefault="0021407A" w:rsidP="00EA13F0">
          <w:pPr>
            <w:tabs>
              <w:tab w:val="center" w:pos="4536"/>
              <w:tab w:val="right" w:pos="9072"/>
            </w:tabs>
          </w:pPr>
          <w:r>
            <w:rPr>
              <w:noProof/>
            </w:rPr>
            <w:drawing>
              <wp:inline distT="0" distB="0" distL="0" distR="0">
                <wp:extent cx="684530" cy="799465"/>
                <wp:effectExtent l="19050" t="0" r="1270" b="0"/>
                <wp:docPr id="7" name="Image 24" descr="tarik AIt-Chat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tarik AIt-Chatite.bmp"/>
                        <pic:cNvPicPr>
                          <a:picLocks noChangeAspect="1" noChangeArrowheads="1"/>
                        </pic:cNvPicPr>
                      </pic:nvPicPr>
                      <pic:blipFill>
                        <a:blip r:embed="rId4"/>
                        <a:srcRect/>
                        <a:stretch>
                          <a:fillRect/>
                        </a:stretch>
                      </pic:blipFill>
                      <pic:spPr bwMode="auto">
                        <a:xfrm>
                          <a:off x="0" y="0"/>
                          <a:ext cx="684530" cy="799465"/>
                        </a:xfrm>
                        <a:prstGeom prst="rect">
                          <a:avLst/>
                        </a:prstGeom>
                        <a:noFill/>
                        <a:ln w="9525">
                          <a:noFill/>
                          <a:miter lim="800000"/>
                          <a:headEnd/>
                          <a:tailEnd/>
                        </a:ln>
                      </pic:spPr>
                    </pic:pic>
                  </a:graphicData>
                </a:graphic>
              </wp:inline>
            </w:drawing>
          </w:r>
        </w:p>
      </w:tc>
      <w:tc>
        <w:tcPr>
          <w:tcW w:w="1196" w:type="dxa"/>
        </w:tcPr>
        <w:p w:rsidR="0021407A" w:rsidRDefault="0021407A" w:rsidP="00EA13F0">
          <w:pPr>
            <w:tabs>
              <w:tab w:val="center" w:pos="4536"/>
              <w:tab w:val="right" w:pos="9072"/>
            </w:tabs>
          </w:pPr>
          <w:r>
            <w:rPr>
              <w:noProof/>
            </w:rPr>
            <w:drawing>
              <wp:inline distT="0" distB="0" distL="0" distR="0">
                <wp:extent cx="619760" cy="799465"/>
                <wp:effectExtent l="19050" t="0" r="8890" b="0"/>
                <wp:docPr id="8" name="Image 17" descr="C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 D.PNG"/>
                        <pic:cNvPicPr>
                          <a:picLocks noChangeAspect="1" noChangeArrowheads="1"/>
                        </pic:cNvPicPr>
                      </pic:nvPicPr>
                      <pic:blipFill>
                        <a:blip r:embed="rId5"/>
                        <a:srcRect/>
                        <a:stretch>
                          <a:fillRect/>
                        </a:stretch>
                      </pic:blipFill>
                      <pic:spPr bwMode="auto">
                        <a:xfrm>
                          <a:off x="0" y="0"/>
                          <a:ext cx="619760" cy="799465"/>
                        </a:xfrm>
                        <a:prstGeom prst="rect">
                          <a:avLst/>
                        </a:prstGeom>
                        <a:noFill/>
                        <a:ln w="9525">
                          <a:noFill/>
                          <a:miter lim="800000"/>
                          <a:headEnd/>
                          <a:tailEnd/>
                        </a:ln>
                      </pic:spPr>
                    </pic:pic>
                  </a:graphicData>
                </a:graphic>
              </wp:inline>
            </w:drawing>
          </w:r>
        </w:p>
      </w:tc>
      <w:tc>
        <w:tcPr>
          <w:tcW w:w="1166" w:type="dxa"/>
        </w:tcPr>
        <w:p w:rsidR="0021407A" w:rsidRPr="00982404" w:rsidRDefault="0021407A" w:rsidP="00EA13F0">
          <w:pPr>
            <w:tabs>
              <w:tab w:val="center" w:pos="4536"/>
              <w:tab w:val="right" w:pos="9072"/>
            </w:tabs>
          </w:pPr>
          <w:r>
            <w:rPr>
              <w:noProof/>
            </w:rPr>
            <w:drawing>
              <wp:inline distT="0" distB="0" distL="0" distR="0">
                <wp:extent cx="589915" cy="799465"/>
                <wp:effectExtent l="19050" t="0" r="635" b="0"/>
                <wp:docPr id="9" name="Image 5" descr="DSCF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SCF5316.JPG"/>
                        <pic:cNvPicPr>
                          <a:picLocks noChangeAspect="1" noChangeArrowheads="1"/>
                        </pic:cNvPicPr>
                      </pic:nvPicPr>
                      <pic:blipFill>
                        <a:blip r:embed="rId6"/>
                        <a:srcRect/>
                        <a:stretch>
                          <a:fillRect/>
                        </a:stretch>
                      </pic:blipFill>
                      <pic:spPr bwMode="auto">
                        <a:xfrm>
                          <a:off x="0" y="0"/>
                          <a:ext cx="589915" cy="799465"/>
                        </a:xfrm>
                        <a:prstGeom prst="rect">
                          <a:avLst/>
                        </a:prstGeom>
                        <a:noFill/>
                        <a:ln w="9525">
                          <a:noFill/>
                          <a:miter lim="800000"/>
                          <a:headEnd/>
                          <a:tailEnd/>
                        </a:ln>
                      </pic:spPr>
                    </pic:pic>
                  </a:graphicData>
                </a:graphic>
              </wp:inline>
            </w:drawing>
          </w:r>
        </w:p>
      </w:tc>
    </w:tr>
  </w:tbl>
  <w:p w:rsidR="0021407A" w:rsidRDefault="002140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A" w:rsidRDefault="0021407A">
    <w:pPr>
      <w:pStyle w:val="Pieddepage"/>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5E" w:rsidRDefault="00614D5E">
      <w:r>
        <w:separator/>
      </w:r>
    </w:p>
  </w:footnote>
  <w:footnote w:type="continuationSeparator" w:id="0">
    <w:p w:rsidR="00614D5E" w:rsidRDefault="00614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A" w:rsidRDefault="00F230A5">
    <w:pPr>
      <w:pStyle w:val="En-tte"/>
      <w:jc w:val="right"/>
    </w:pPr>
    <w:r>
      <w:rPr>
        <w:rStyle w:val="Numrodepage"/>
      </w:rPr>
      <w:fldChar w:fldCharType="begin"/>
    </w:r>
    <w:r w:rsidR="0021407A">
      <w:rPr>
        <w:rStyle w:val="Numrodepage"/>
      </w:rPr>
      <w:instrText xml:space="preserve"> PAGE </w:instrText>
    </w:r>
    <w:r>
      <w:rPr>
        <w:rStyle w:val="Numrodepage"/>
      </w:rPr>
      <w:fldChar w:fldCharType="separate"/>
    </w:r>
    <w:r w:rsidR="00A00B2C">
      <w:rPr>
        <w:rStyle w:val="Numrodepage"/>
        <w:noProof/>
      </w:rPr>
      <w:t>2</w:t>
    </w:r>
    <w:r>
      <w:rPr>
        <w:rStyle w:val="Numrodepag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A" w:rsidRPr="000D20B4" w:rsidRDefault="0021407A" w:rsidP="000D20B4">
    <w:pPr>
      <w:pStyle w:val="En-tte"/>
      <w:spacing w:line="120" w:lineRule="auto"/>
      <w:jc w:val="center"/>
      <w:rPr>
        <w:b/>
      </w:rPr>
    </w:pPr>
    <w:r>
      <w:rPr>
        <w:b/>
        <w:noProof/>
      </w:rPr>
      <w:drawing>
        <wp:anchor distT="0" distB="0" distL="114300" distR="114300" simplePos="0" relativeHeight="251657728" behindDoc="0" locked="0" layoutInCell="1" allowOverlap="1">
          <wp:simplePos x="0" y="0"/>
          <wp:positionH relativeFrom="column">
            <wp:posOffset>1111250</wp:posOffset>
          </wp:positionH>
          <wp:positionV relativeFrom="paragraph">
            <wp:posOffset>-252095</wp:posOffset>
          </wp:positionV>
          <wp:extent cx="4157980" cy="1664970"/>
          <wp:effectExtent l="19050" t="0" r="0" b="0"/>
          <wp:wrapTight wrapText="bothSides">
            <wp:wrapPolygon edited="0">
              <wp:start x="-99" y="0"/>
              <wp:lineTo x="-99" y="21254"/>
              <wp:lineTo x="21574" y="21254"/>
              <wp:lineTo x="21574" y="0"/>
              <wp:lineTo x="-99" y="0"/>
            </wp:wrapPolygon>
          </wp:wrapTight>
          <wp:docPr id="1" name="Image 1"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pic:cNvPicPr>
                    <a:picLocks noChangeAspect="1" noChangeArrowheads="1"/>
                  </pic:cNvPicPr>
                </pic:nvPicPr>
                <pic:blipFill>
                  <a:blip r:embed="rId1"/>
                  <a:srcRect/>
                  <a:stretch>
                    <a:fillRect/>
                  </a:stretch>
                </pic:blipFill>
                <pic:spPr bwMode="auto">
                  <a:xfrm>
                    <a:off x="0" y="0"/>
                    <a:ext cx="4157980" cy="1664970"/>
                  </a:xfrm>
                  <a:prstGeom prst="rect">
                    <a:avLst/>
                  </a:prstGeom>
                  <a:noFill/>
                  <a:ln w="9525">
                    <a:noFill/>
                    <a:miter lim="800000"/>
                    <a:headEnd/>
                    <a:tailEnd/>
                  </a:ln>
                </pic:spPr>
              </pic:pic>
            </a:graphicData>
          </a:graphic>
        </wp:anchor>
      </w:drawing>
    </w:r>
  </w:p>
  <w:p w:rsidR="0021407A" w:rsidRPr="00904BAD" w:rsidRDefault="0021407A">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8469F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463CD060"/>
    <w:lvl w:ilvl="0">
      <w:numFmt w:val="decimal"/>
      <w:lvlText w:val="*"/>
      <w:lvlJc w:val="left"/>
    </w:lvl>
  </w:abstractNum>
  <w:abstractNum w:abstractNumId="2">
    <w:nsid w:val="07F56BC0"/>
    <w:multiLevelType w:val="hybridMultilevel"/>
    <w:tmpl w:val="AA5E4E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3D7323"/>
    <w:multiLevelType w:val="hybridMultilevel"/>
    <w:tmpl w:val="FC9EFBB6"/>
    <w:lvl w:ilvl="0" w:tplc="60B80FA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EA4707"/>
    <w:multiLevelType w:val="hybridMultilevel"/>
    <w:tmpl w:val="F7C61C76"/>
    <w:lvl w:ilvl="0" w:tplc="9CE6A2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590347"/>
    <w:multiLevelType w:val="hybridMultilevel"/>
    <w:tmpl w:val="248C7D82"/>
    <w:lvl w:ilvl="0" w:tplc="12688B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7340BB"/>
    <w:multiLevelType w:val="hybridMultilevel"/>
    <w:tmpl w:val="FDFAE6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073616"/>
    <w:multiLevelType w:val="hybridMultilevel"/>
    <w:tmpl w:val="43C6624C"/>
    <w:lvl w:ilvl="0" w:tplc="9DAEAD9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56261E"/>
    <w:multiLevelType w:val="hybridMultilevel"/>
    <w:tmpl w:val="B6C4FD14"/>
    <w:lvl w:ilvl="0" w:tplc="345AED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6E17F0"/>
    <w:multiLevelType w:val="hybridMultilevel"/>
    <w:tmpl w:val="3566DA50"/>
    <w:lvl w:ilvl="0" w:tplc="33B28F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1568EA"/>
    <w:multiLevelType w:val="hybridMultilevel"/>
    <w:tmpl w:val="4A24B668"/>
    <w:lvl w:ilvl="0" w:tplc="810624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587FC7"/>
    <w:multiLevelType w:val="hybridMultilevel"/>
    <w:tmpl w:val="D7FA1246"/>
    <w:lvl w:ilvl="0" w:tplc="7BA83BF0">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29641FE4"/>
    <w:multiLevelType w:val="hybridMultilevel"/>
    <w:tmpl w:val="9D7ADADE"/>
    <w:lvl w:ilvl="0" w:tplc="90744078">
      <w:start w:val="6"/>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2EB17F79"/>
    <w:multiLevelType w:val="hybridMultilevel"/>
    <w:tmpl w:val="4FC6E7C2"/>
    <w:lvl w:ilvl="0" w:tplc="BF884FFE">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4">
    <w:nsid w:val="2EDA14E2"/>
    <w:multiLevelType w:val="hybridMultilevel"/>
    <w:tmpl w:val="BFC800C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32C73953"/>
    <w:multiLevelType w:val="hybridMultilevel"/>
    <w:tmpl w:val="A89859F2"/>
    <w:lvl w:ilvl="0" w:tplc="5F12932C">
      <w:start w:val="4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8D77D6"/>
    <w:multiLevelType w:val="hybridMultilevel"/>
    <w:tmpl w:val="DF58B7A4"/>
    <w:lvl w:ilvl="0" w:tplc="3B50D9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5A52A9B"/>
    <w:multiLevelType w:val="hybridMultilevel"/>
    <w:tmpl w:val="3C12FC7E"/>
    <w:lvl w:ilvl="0" w:tplc="80104A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1A754A"/>
    <w:multiLevelType w:val="hybridMultilevel"/>
    <w:tmpl w:val="F04A080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382510A9"/>
    <w:multiLevelType w:val="hybridMultilevel"/>
    <w:tmpl w:val="EB06D4DE"/>
    <w:lvl w:ilvl="0" w:tplc="63308AA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507838"/>
    <w:multiLevelType w:val="hybridMultilevel"/>
    <w:tmpl w:val="8DA68D14"/>
    <w:lvl w:ilvl="0" w:tplc="6EC861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D9532E2"/>
    <w:multiLevelType w:val="hybridMultilevel"/>
    <w:tmpl w:val="83F6D912"/>
    <w:lvl w:ilvl="0" w:tplc="07628F8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nsid w:val="3E5D412D"/>
    <w:multiLevelType w:val="hybridMultilevel"/>
    <w:tmpl w:val="C4B85CC0"/>
    <w:lvl w:ilvl="0" w:tplc="67C2E1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EB3238E"/>
    <w:multiLevelType w:val="hybridMultilevel"/>
    <w:tmpl w:val="B1548812"/>
    <w:lvl w:ilvl="0" w:tplc="B73CEF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62584B"/>
    <w:multiLevelType w:val="hybridMultilevel"/>
    <w:tmpl w:val="7CA2C666"/>
    <w:lvl w:ilvl="0" w:tplc="D882AF2C">
      <w:start w:val="1"/>
      <w:numFmt w:val="decimal"/>
      <w:lvlText w:val="%1."/>
      <w:lvlJc w:val="left"/>
      <w:pPr>
        <w:tabs>
          <w:tab w:val="num" w:pos="927"/>
        </w:tabs>
        <w:ind w:left="927" w:hanging="360"/>
      </w:pPr>
      <w:rPr>
        <w:i w:val="0"/>
      </w:rPr>
    </w:lvl>
    <w:lvl w:ilvl="1" w:tplc="7CC4DAE2">
      <w:numFmt w:val="bullet"/>
      <w:lvlText w:val="-"/>
      <w:lvlJc w:val="left"/>
      <w:pPr>
        <w:tabs>
          <w:tab w:val="num" w:pos="981"/>
        </w:tabs>
        <w:ind w:left="981" w:hanging="360"/>
      </w:pPr>
      <w:rPr>
        <w:rFonts w:ascii="Times New Roman" w:eastAsia="Times New Roman" w:hAnsi="Times New Roman" w:cs="Times New Roman" w:hint="default"/>
      </w:rPr>
    </w:lvl>
    <w:lvl w:ilvl="2" w:tplc="040C001B" w:tentative="1">
      <w:start w:val="1"/>
      <w:numFmt w:val="lowerRoman"/>
      <w:lvlText w:val="%3."/>
      <w:lvlJc w:val="right"/>
      <w:pPr>
        <w:tabs>
          <w:tab w:val="num" w:pos="1701"/>
        </w:tabs>
        <w:ind w:left="1701" w:hanging="180"/>
      </w:pPr>
    </w:lvl>
    <w:lvl w:ilvl="3" w:tplc="040C000F" w:tentative="1">
      <w:start w:val="1"/>
      <w:numFmt w:val="decimal"/>
      <w:lvlText w:val="%4."/>
      <w:lvlJc w:val="left"/>
      <w:pPr>
        <w:tabs>
          <w:tab w:val="num" w:pos="2421"/>
        </w:tabs>
        <w:ind w:left="2421" w:hanging="360"/>
      </w:pPr>
    </w:lvl>
    <w:lvl w:ilvl="4" w:tplc="040C0019" w:tentative="1">
      <w:start w:val="1"/>
      <w:numFmt w:val="lowerLetter"/>
      <w:lvlText w:val="%5."/>
      <w:lvlJc w:val="left"/>
      <w:pPr>
        <w:tabs>
          <w:tab w:val="num" w:pos="3141"/>
        </w:tabs>
        <w:ind w:left="3141" w:hanging="360"/>
      </w:pPr>
    </w:lvl>
    <w:lvl w:ilvl="5" w:tplc="040C001B" w:tentative="1">
      <w:start w:val="1"/>
      <w:numFmt w:val="lowerRoman"/>
      <w:lvlText w:val="%6."/>
      <w:lvlJc w:val="right"/>
      <w:pPr>
        <w:tabs>
          <w:tab w:val="num" w:pos="3861"/>
        </w:tabs>
        <w:ind w:left="3861" w:hanging="180"/>
      </w:pPr>
    </w:lvl>
    <w:lvl w:ilvl="6" w:tplc="040C000F" w:tentative="1">
      <w:start w:val="1"/>
      <w:numFmt w:val="decimal"/>
      <w:lvlText w:val="%7."/>
      <w:lvlJc w:val="left"/>
      <w:pPr>
        <w:tabs>
          <w:tab w:val="num" w:pos="4581"/>
        </w:tabs>
        <w:ind w:left="4581" w:hanging="360"/>
      </w:pPr>
    </w:lvl>
    <w:lvl w:ilvl="7" w:tplc="040C0019" w:tentative="1">
      <w:start w:val="1"/>
      <w:numFmt w:val="lowerLetter"/>
      <w:lvlText w:val="%8."/>
      <w:lvlJc w:val="left"/>
      <w:pPr>
        <w:tabs>
          <w:tab w:val="num" w:pos="5301"/>
        </w:tabs>
        <w:ind w:left="5301" w:hanging="360"/>
      </w:pPr>
    </w:lvl>
    <w:lvl w:ilvl="8" w:tplc="040C001B" w:tentative="1">
      <w:start w:val="1"/>
      <w:numFmt w:val="lowerRoman"/>
      <w:lvlText w:val="%9."/>
      <w:lvlJc w:val="right"/>
      <w:pPr>
        <w:tabs>
          <w:tab w:val="num" w:pos="6021"/>
        </w:tabs>
        <w:ind w:left="6021" w:hanging="180"/>
      </w:pPr>
    </w:lvl>
  </w:abstractNum>
  <w:abstractNum w:abstractNumId="25">
    <w:nsid w:val="444249E8"/>
    <w:multiLevelType w:val="hybridMultilevel"/>
    <w:tmpl w:val="7164A8A6"/>
    <w:lvl w:ilvl="0" w:tplc="31E0D600">
      <w:numFmt w:val="bullet"/>
      <w:lvlText w:val="-"/>
      <w:lvlJc w:val="left"/>
      <w:pPr>
        <w:ind w:left="1068" w:hanging="360"/>
      </w:pPr>
      <w:rPr>
        <w:rFonts w:ascii="Arial" w:eastAsia="Time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55B7379"/>
    <w:multiLevelType w:val="hybridMultilevel"/>
    <w:tmpl w:val="81446BFA"/>
    <w:lvl w:ilvl="0" w:tplc="E556A7B6">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7554A87"/>
    <w:multiLevelType w:val="hybridMultilevel"/>
    <w:tmpl w:val="CFDEFDF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nsid w:val="4B670610"/>
    <w:multiLevelType w:val="hybridMultilevel"/>
    <w:tmpl w:val="5D18D7D0"/>
    <w:lvl w:ilvl="0" w:tplc="86FE51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BF70DF4"/>
    <w:multiLevelType w:val="hybridMultilevel"/>
    <w:tmpl w:val="F0545A34"/>
    <w:lvl w:ilvl="0" w:tplc="1E9221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D306358"/>
    <w:multiLevelType w:val="hybridMultilevel"/>
    <w:tmpl w:val="5ED45D82"/>
    <w:lvl w:ilvl="0" w:tplc="7A08E92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B02B28"/>
    <w:multiLevelType w:val="hybridMultilevel"/>
    <w:tmpl w:val="F168B9C8"/>
    <w:lvl w:ilvl="0" w:tplc="596CE59A">
      <w:start w:val="2"/>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2">
    <w:nsid w:val="675B5725"/>
    <w:multiLevelType w:val="hybridMultilevel"/>
    <w:tmpl w:val="C4B85CC0"/>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643ECE"/>
    <w:multiLevelType w:val="hybridMultilevel"/>
    <w:tmpl w:val="AA5E4E10"/>
    <w:lvl w:ilvl="0" w:tplc="98E0365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6E34CC"/>
    <w:multiLevelType w:val="hybridMultilevel"/>
    <w:tmpl w:val="D1FA0AF2"/>
    <w:lvl w:ilvl="0" w:tplc="29C257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471309"/>
    <w:multiLevelType w:val="hybridMultilevel"/>
    <w:tmpl w:val="C818D5F0"/>
    <w:lvl w:ilvl="0" w:tplc="F2C89434">
      <w:start w:val="1"/>
      <w:numFmt w:val="decimal"/>
      <w:lvlText w:val="%1)"/>
      <w:lvlJc w:val="left"/>
      <w:pPr>
        <w:tabs>
          <w:tab w:val="num" w:pos="720"/>
        </w:tabs>
        <w:ind w:left="720" w:hanging="360"/>
      </w:pPr>
      <w:rPr>
        <w:rFonts w:ascii="Times New Roman" w:eastAsia="Times New Roman" w:hAnsi="Times New Roman" w:cs="Times New Roman"/>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nsid w:val="6A743EEC"/>
    <w:multiLevelType w:val="hybridMultilevel"/>
    <w:tmpl w:val="2EC4995C"/>
    <w:lvl w:ilvl="0" w:tplc="040C0001">
      <w:start w:val="1"/>
      <w:numFmt w:val="bullet"/>
      <w:lvlText w:val=""/>
      <w:lvlJc w:val="left"/>
      <w:pPr>
        <w:ind w:left="417" w:hanging="360"/>
      </w:pPr>
      <w:rPr>
        <w:rFonts w:ascii="Symbol" w:hAnsi="Symbol"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7">
    <w:nsid w:val="6A784811"/>
    <w:multiLevelType w:val="hybridMultilevel"/>
    <w:tmpl w:val="49FEE93A"/>
    <w:lvl w:ilvl="0" w:tplc="724689D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8">
    <w:nsid w:val="6ADC352C"/>
    <w:multiLevelType w:val="hybridMultilevel"/>
    <w:tmpl w:val="3A1CC6E4"/>
    <w:lvl w:ilvl="0" w:tplc="476C48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C1C2CAF"/>
    <w:multiLevelType w:val="hybridMultilevel"/>
    <w:tmpl w:val="85989C0C"/>
    <w:lvl w:ilvl="0" w:tplc="00A07748">
      <w:start w:val="200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782511"/>
    <w:multiLevelType w:val="hybridMultilevel"/>
    <w:tmpl w:val="530EAF48"/>
    <w:lvl w:ilvl="0" w:tplc="0C6A7C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595A9D"/>
    <w:multiLevelType w:val="hybridMultilevel"/>
    <w:tmpl w:val="04964BE8"/>
    <w:lvl w:ilvl="0" w:tplc="4EEE6E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6502605"/>
    <w:multiLevelType w:val="hybridMultilevel"/>
    <w:tmpl w:val="A0CEB12C"/>
    <w:lvl w:ilvl="0" w:tplc="987A2A9A">
      <w:start w:val="4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6754801"/>
    <w:multiLevelType w:val="hybridMultilevel"/>
    <w:tmpl w:val="A0EADE94"/>
    <w:lvl w:ilvl="0" w:tplc="1D4A26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6F44C3E"/>
    <w:multiLevelType w:val="hybridMultilevel"/>
    <w:tmpl w:val="71F05DE2"/>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45">
    <w:nsid w:val="771F2011"/>
    <w:multiLevelType w:val="hybridMultilevel"/>
    <w:tmpl w:val="8632A204"/>
    <w:lvl w:ilvl="0" w:tplc="09F69E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71799E"/>
    <w:multiLevelType w:val="hybridMultilevel"/>
    <w:tmpl w:val="DB444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B07342"/>
    <w:multiLevelType w:val="hybridMultilevel"/>
    <w:tmpl w:val="0C30FC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EC64004"/>
    <w:multiLevelType w:val="hybridMultilevel"/>
    <w:tmpl w:val="BB289F86"/>
    <w:lvl w:ilvl="0" w:tplc="210E6B3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F391328"/>
    <w:multiLevelType w:val="hybridMultilevel"/>
    <w:tmpl w:val="3162E168"/>
    <w:lvl w:ilvl="0" w:tplc="02888628">
      <w:start w:val="4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43"/>
  </w:num>
  <w:num w:numId="4">
    <w:abstractNumId w:val="42"/>
  </w:num>
  <w:num w:numId="5">
    <w:abstractNumId w:val="30"/>
  </w:num>
  <w:num w:numId="6">
    <w:abstractNumId w:val="8"/>
  </w:num>
  <w:num w:numId="7">
    <w:abstractNumId w:val="28"/>
  </w:num>
  <w:num w:numId="8">
    <w:abstractNumId w:val="41"/>
  </w:num>
  <w:num w:numId="9">
    <w:abstractNumId w:val="20"/>
  </w:num>
  <w:num w:numId="10">
    <w:abstractNumId w:val="5"/>
  </w:num>
  <w:num w:numId="11">
    <w:abstractNumId w:val="17"/>
  </w:num>
  <w:num w:numId="12">
    <w:abstractNumId w:val="1"/>
    <w:lvlOverride w:ilvl="0">
      <w:lvl w:ilvl="0">
        <w:numFmt w:val="bullet"/>
        <w:lvlText w:val="•"/>
        <w:legacy w:legacy="1" w:legacySpace="0" w:legacyIndent="0"/>
        <w:lvlJc w:val="left"/>
        <w:rPr>
          <w:rFonts w:ascii="Helv" w:hAnsi="Helv" w:hint="default"/>
        </w:rPr>
      </w:lvl>
    </w:lvlOverride>
  </w:num>
  <w:num w:numId="13">
    <w:abstractNumId w:val="3"/>
  </w:num>
  <w:num w:numId="14">
    <w:abstractNumId w:val="7"/>
  </w:num>
  <w:num w:numId="15">
    <w:abstractNumId w:val="47"/>
  </w:num>
  <w:num w:numId="16">
    <w:abstractNumId w:val="4"/>
  </w:num>
  <w:num w:numId="17">
    <w:abstractNumId w:val="33"/>
  </w:num>
  <w:num w:numId="18">
    <w:abstractNumId w:val="2"/>
  </w:num>
  <w:num w:numId="19">
    <w:abstractNumId w:val="16"/>
  </w:num>
  <w:num w:numId="20">
    <w:abstractNumId w:val="22"/>
  </w:num>
  <w:num w:numId="21">
    <w:abstractNumId w:val="26"/>
  </w:num>
  <w:num w:numId="22">
    <w:abstractNumId w:val="32"/>
  </w:num>
  <w:num w:numId="23">
    <w:abstractNumId w:val="0"/>
  </w:num>
  <w:num w:numId="24">
    <w:abstractNumId w:val="9"/>
  </w:num>
  <w:num w:numId="25">
    <w:abstractNumId w:val="23"/>
  </w:num>
  <w:num w:numId="26">
    <w:abstractNumId w:val="12"/>
  </w:num>
  <w:num w:numId="27">
    <w:abstractNumId w:val="6"/>
  </w:num>
  <w:num w:numId="28">
    <w:abstractNumId w:val="38"/>
  </w:num>
  <w:num w:numId="29">
    <w:abstractNumId w:val="29"/>
  </w:num>
  <w:num w:numId="30">
    <w:abstractNumId w:val="48"/>
  </w:num>
  <w:num w:numId="31">
    <w:abstractNumId w:val="40"/>
  </w:num>
  <w:num w:numId="32">
    <w:abstractNumId w:val="11"/>
  </w:num>
  <w:num w:numId="33">
    <w:abstractNumId w:val="37"/>
  </w:num>
  <w:num w:numId="34">
    <w:abstractNumId w:val="21"/>
  </w:num>
  <w:num w:numId="35">
    <w:abstractNumId w:val="35"/>
  </w:num>
  <w:num w:numId="36">
    <w:abstractNumId w:val="18"/>
  </w:num>
  <w:num w:numId="37">
    <w:abstractNumId w:val="45"/>
  </w:num>
  <w:num w:numId="38">
    <w:abstractNumId w:val="46"/>
  </w:num>
  <w:num w:numId="39">
    <w:abstractNumId w:val="25"/>
  </w:num>
  <w:num w:numId="40">
    <w:abstractNumId w:val="14"/>
  </w:num>
  <w:num w:numId="41">
    <w:abstractNumId w:val="24"/>
  </w:num>
  <w:num w:numId="42">
    <w:abstractNumId w:val="15"/>
  </w:num>
  <w:num w:numId="43">
    <w:abstractNumId w:val="49"/>
  </w:num>
  <w:num w:numId="44">
    <w:abstractNumId w:val="39"/>
  </w:num>
  <w:num w:numId="45">
    <w:abstractNumId w:val="34"/>
  </w:num>
  <w:num w:numId="46">
    <w:abstractNumId w:val="10"/>
  </w:num>
  <w:num w:numId="47">
    <w:abstractNumId w:val="13"/>
  </w:num>
  <w:num w:numId="48">
    <w:abstractNumId w:val="36"/>
  </w:num>
  <w:num w:numId="49">
    <w:abstractNumId w:val="27"/>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trackRevisions/>
  <w:defaultTabStop w:val="708"/>
  <w:hyphenationZone w:val="425"/>
  <w:drawingGridHorizontalSpacing w:val="120"/>
  <w:displayHorizontalDrawingGridEvery w:val="2"/>
  <w:noPunctuationKerning/>
  <w:characterSpacingControl w:val="doNotCompress"/>
  <w:hdrShapeDefaults>
    <o:shapedefaults v:ext="edit" spidmax="23554" fillcolor="#ddd" strokecolor="#969696">
      <v:fill color="#ddd" type="tile"/>
      <v:stroke color="#969696"/>
      <v:shadow on="t" type="perspective" color="#c7dfd3" origin="-.5,-.5" offset="-26pt,-36pt" matrix="1.25,,,1.25"/>
    </o:shapedefaults>
  </w:hdrShapeDefaults>
  <w:footnotePr>
    <w:footnote w:id="-1"/>
    <w:footnote w:id="0"/>
  </w:footnotePr>
  <w:endnotePr>
    <w:endnote w:id="-1"/>
    <w:endnote w:id="0"/>
  </w:endnotePr>
  <w:compat/>
  <w:rsids>
    <w:rsidRoot w:val="006D5D94"/>
    <w:rsid w:val="0000005E"/>
    <w:rsid w:val="00000086"/>
    <w:rsid w:val="000028B2"/>
    <w:rsid w:val="000046FC"/>
    <w:rsid w:val="00004AB8"/>
    <w:rsid w:val="0001063F"/>
    <w:rsid w:val="00010BD9"/>
    <w:rsid w:val="000146D5"/>
    <w:rsid w:val="00032194"/>
    <w:rsid w:val="00033D6B"/>
    <w:rsid w:val="00033E10"/>
    <w:rsid w:val="0003437C"/>
    <w:rsid w:val="00043EBB"/>
    <w:rsid w:val="000546F5"/>
    <w:rsid w:val="000628DC"/>
    <w:rsid w:val="00064659"/>
    <w:rsid w:val="00064B96"/>
    <w:rsid w:val="00066AC5"/>
    <w:rsid w:val="00070F32"/>
    <w:rsid w:val="00085632"/>
    <w:rsid w:val="000903A9"/>
    <w:rsid w:val="00091059"/>
    <w:rsid w:val="00097E7B"/>
    <w:rsid w:val="000A49B1"/>
    <w:rsid w:val="000A5E8D"/>
    <w:rsid w:val="000B2F03"/>
    <w:rsid w:val="000B2F07"/>
    <w:rsid w:val="000B537A"/>
    <w:rsid w:val="000B6F36"/>
    <w:rsid w:val="000B71A4"/>
    <w:rsid w:val="000C0A6C"/>
    <w:rsid w:val="000C38E2"/>
    <w:rsid w:val="000C62C9"/>
    <w:rsid w:val="000D20B4"/>
    <w:rsid w:val="000D2D67"/>
    <w:rsid w:val="000E1BC6"/>
    <w:rsid w:val="000E6C0B"/>
    <w:rsid w:val="000E6CF1"/>
    <w:rsid w:val="000E78CE"/>
    <w:rsid w:val="00100311"/>
    <w:rsid w:val="00110D6F"/>
    <w:rsid w:val="00116430"/>
    <w:rsid w:val="00116734"/>
    <w:rsid w:val="001220B8"/>
    <w:rsid w:val="00125E02"/>
    <w:rsid w:val="00125E18"/>
    <w:rsid w:val="00131292"/>
    <w:rsid w:val="00132398"/>
    <w:rsid w:val="00142D88"/>
    <w:rsid w:val="00154F5C"/>
    <w:rsid w:val="00156533"/>
    <w:rsid w:val="00172036"/>
    <w:rsid w:val="00172A8B"/>
    <w:rsid w:val="0017584E"/>
    <w:rsid w:val="00175BE9"/>
    <w:rsid w:val="00176F38"/>
    <w:rsid w:val="00184DE0"/>
    <w:rsid w:val="001968D8"/>
    <w:rsid w:val="001A0D87"/>
    <w:rsid w:val="001A34E7"/>
    <w:rsid w:val="001B2718"/>
    <w:rsid w:val="001B2C5A"/>
    <w:rsid w:val="001B4BEF"/>
    <w:rsid w:val="001C7190"/>
    <w:rsid w:val="001C772B"/>
    <w:rsid w:val="001D3424"/>
    <w:rsid w:val="001D38FE"/>
    <w:rsid w:val="001E16BB"/>
    <w:rsid w:val="001E185F"/>
    <w:rsid w:val="001E41D7"/>
    <w:rsid w:val="001F2888"/>
    <w:rsid w:val="001F6B6C"/>
    <w:rsid w:val="00201221"/>
    <w:rsid w:val="00204D8C"/>
    <w:rsid w:val="00205F57"/>
    <w:rsid w:val="00212C5A"/>
    <w:rsid w:val="0021407A"/>
    <w:rsid w:val="00215C40"/>
    <w:rsid w:val="00215FF3"/>
    <w:rsid w:val="00220CC3"/>
    <w:rsid w:val="00223C62"/>
    <w:rsid w:val="00231117"/>
    <w:rsid w:val="00231776"/>
    <w:rsid w:val="00236980"/>
    <w:rsid w:val="002376D9"/>
    <w:rsid w:val="00237E4B"/>
    <w:rsid w:val="00241696"/>
    <w:rsid w:val="00243AE1"/>
    <w:rsid w:val="00247437"/>
    <w:rsid w:val="00251B59"/>
    <w:rsid w:val="002539DD"/>
    <w:rsid w:val="002544FE"/>
    <w:rsid w:val="00255FAB"/>
    <w:rsid w:val="00260D95"/>
    <w:rsid w:val="0027374F"/>
    <w:rsid w:val="00280442"/>
    <w:rsid w:val="002832E4"/>
    <w:rsid w:val="00286E65"/>
    <w:rsid w:val="0029300C"/>
    <w:rsid w:val="002A6A50"/>
    <w:rsid w:val="002B29B9"/>
    <w:rsid w:val="002C241A"/>
    <w:rsid w:val="002C6728"/>
    <w:rsid w:val="002D0110"/>
    <w:rsid w:val="002D18A4"/>
    <w:rsid w:val="002D7115"/>
    <w:rsid w:val="002D7A20"/>
    <w:rsid w:val="002E0B88"/>
    <w:rsid w:val="002E1935"/>
    <w:rsid w:val="002F07CB"/>
    <w:rsid w:val="002F08D3"/>
    <w:rsid w:val="002F57DA"/>
    <w:rsid w:val="002F5C0D"/>
    <w:rsid w:val="002F5E8E"/>
    <w:rsid w:val="002F6509"/>
    <w:rsid w:val="00303B06"/>
    <w:rsid w:val="0030502A"/>
    <w:rsid w:val="00307919"/>
    <w:rsid w:val="00311298"/>
    <w:rsid w:val="0031716D"/>
    <w:rsid w:val="00324E72"/>
    <w:rsid w:val="003269F1"/>
    <w:rsid w:val="003271D1"/>
    <w:rsid w:val="003329E1"/>
    <w:rsid w:val="00336FC1"/>
    <w:rsid w:val="003439F2"/>
    <w:rsid w:val="003455A4"/>
    <w:rsid w:val="00351839"/>
    <w:rsid w:val="00357AA1"/>
    <w:rsid w:val="00361F0E"/>
    <w:rsid w:val="003869DD"/>
    <w:rsid w:val="00393609"/>
    <w:rsid w:val="00394908"/>
    <w:rsid w:val="00396827"/>
    <w:rsid w:val="003A0EE8"/>
    <w:rsid w:val="003A1DEC"/>
    <w:rsid w:val="003A7F5B"/>
    <w:rsid w:val="003B17BB"/>
    <w:rsid w:val="003B29F6"/>
    <w:rsid w:val="003B5639"/>
    <w:rsid w:val="003C1681"/>
    <w:rsid w:val="003C2618"/>
    <w:rsid w:val="003C388B"/>
    <w:rsid w:val="003C5D24"/>
    <w:rsid w:val="003D1760"/>
    <w:rsid w:val="003D1870"/>
    <w:rsid w:val="003D4764"/>
    <w:rsid w:val="003E25C6"/>
    <w:rsid w:val="003E792C"/>
    <w:rsid w:val="003F1E7E"/>
    <w:rsid w:val="003F22C5"/>
    <w:rsid w:val="003F2AF9"/>
    <w:rsid w:val="003F5409"/>
    <w:rsid w:val="004076A4"/>
    <w:rsid w:val="00413F1A"/>
    <w:rsid w:val="00415B35"/>
    <w:rsid w:val="00415F94"/>
    <w:rsid w:val="0041691C"/>
    <w:rsid w:val="00420D24"/>
    <w:rsid w:val="00420F0E"/>
    <w:rsid w:val="00423453"/>
    <w:rsid w:val="004239C5"/>
    <w:rsid w:val="004308A8"/>
    <w:rsid w:val="004320FC"/>
    <w:rsid w:val="004436FF"/>
    <w:rsid w:val="00447705"/>
    <w:rsid w:val="00447838"/>
    <w:rsid w:val="00453CA6"/>
    <w:rsid w:val="00477F19"/>
    <w:rsid w:val="00481D4A"/>
    <w:rsid w:val="00483792"/>
    <w:rsid w:val="00484286"/>
    <w:rsid w:val="004858F4"/>
    <w:rsid w:val="004868AE"/>
    <w:rsid w:val="00490169"/>
    <w:rsid w:val="00490E3D"/>
    <w:rsid w:val="00491314"/>
    <w:rsid w:val="00496293"/>
    <w:rsid w:val="004A5B54"/>
    <w:rsid w:val="004B62BD"/>
    <w:rsid w:val="004B63C7"/>
    <w:rsid w:val="004D096A"/>
    <w:rsid w:val="004D0E81"/>
    <w:rsid w:val="004D2087"/>
    <w:rsid w:val="004E0396"/>
    <w:rsid w:val="004E0B93"/>
    <w:rsid w:val="004E2B46"/>
    <w:rsid w:val="004E3371"/>
    <w:rsid w:val="004E7254"/>
    <w:rsid w:val="00500A25"/>
    <w:rsid w:val="00504035"/>
    <w:rsid w:val="00506F31"/>
    <w:rsid w:val="00516E3E"/>
    <w:rsid w:val="00524982"/>
    <w:rsid w:val="00531384"/>
    <w:rsid w:val="005341F7"/>
    <w:rsid w:val="00537EF3"/>
    <w:rsid w:val="00543425"/>
    <w:rsid w:val="005537A1"/>
    <w:rsid w:val="005549E4"/>
    <w:rsid w:val="00572964"/>
    <w:rsid w:val="0057748F"/>
    <w:rsid w:val="00580171"/>
    <w:rsid w:val="00583DEE"/>
    <w:rsid w:val="00590D41"/>
    <w:rsid w:val="00591BE5"/>
    <w:rsid w:val="00595075"/>
    <w:rsid w:val="005A1D64"/>
    <w:rsid w:val="005A5061"/>
    <w:rsid w:val="005B292B"/>
    <w:rsid w:val="005C2D67"/>
    <w:rsid w:val="005D72A9"/>
    <w:rsid w:val="005E28AB"/>
    <w:rsid w:val="005F381F"/>
    <w:rsid w:val="005F57F6"/>
    <w:rsid w:val="00601FAC"/>
    <w:rsid w:val="006025E0"/>
    <w:rsid w:val="00602918"/>
    <w:rsid w:val="0060382D"/>
    <w:rsid w:val="006046F4"/>
    <w:rsid w:val="006100B1"/>
    <w:rsid w:val="00612B17"/>
    <w:rsid w:val="006130C2"/>
    <w:rsid w:val="00614D5E"/>
    <w:rsid w:val="00615FC4"/>
    <w:rsid w:val="00616104"/>
    <w:rsid w:val="0061711A"/>
    <w:rsid w:val="006249E9"/>
    <w:rsid w:val="00626985"/>
    <w:rsid w:val="00626B24"/>
    <w:rsid w:val="006278C1"/>
    <w:rsid w:val="006313AC"/>
    <w:rsid w:val="0063174C"/>
    <w:rsid w:val="0064002D"/>
    <w:rsid w:val="00640543"/>
    <w:rsid w:val="0064271C"/>
    <w:rsid w:val="00651E01"/>
    <w:rsid w:val="006525EA"/>
    <w:rsid w:val="00675074"/>
    <w:rsid w:val="00675175"/>
    <w:rsid w:val="00675A7B"/>
    <w:rsid w:val="00677804"/>
    <w:rsid w:val="006809BC"/>
    <w:rsid w:val="006917F0"/>
    <w:rsid w:val="00692F1F"/>
    <w:rsid w:val="006955B1"/>
    <w:rsid w:val="00695C48"/>
    <w:rsid w:val="006A0998"/>
    <w:rsid w:val="006A1D9C"/>
    <w:rsid w:val="006A48BF"/>
    <w:rsid w:val="006B7824"/>
    <w:rsid w:val="006C1FD7"/>
    <w:rsid w:val="006C22E9"/>
    <w:rsid w:val="006D3029"/>
    <w:rsid w:val="006D54E2"/>
    <w:rsid w:val="006D5D94"/>
    <w:rsid w:val="006E6467"/>
    <w:rsid w:val="006E6793"/>
    <w:rsid w:val="007074F8"/>
    <w:rsid w:val="00707CCD"/>
    <w:rsid w:val="007131AA"/>
    <w:rsid w:val="0071347D"/>
    <w:rsid w:val="00713DBE"/>
    <w:rsid w:val="007164F3"/>
    <w:rsid w:val="00720A8A"/>
    <w:rsid w:val="00724CF4"/>
    <w:rsid w:val="00730346"/>
    <w:rsid w:val="007319CB"/>
    <w:rsid w:val="007469A5"/>
    <w:rsid w:val="007549F9"/>
    <w:rsid w:val="00757B99"/>
    <w:rsid w:val="00761E04"/>
    <w:rsid w:val="00762B77"/>
    <w:rsid w:val="00774492"/>
    <w:rsid w:val="00775F06"/>
    <w:rsid w:val="007842D5"/>
    <w:rsid w:val="00787507"/>
    <w:rsid w:val="00795564"/>
    <w:rsid w:val="007A4960"/>
    <w:rsid w:val="007B797B"/>
    <w:rsid w:val="007C501D"/>
    <w:rsid w:val="007D7E9F"/>
    <w:rsid w:val="007E09BD"/>
    <w:rsid w:val="007E47FD"/>
    <w:rsid w:val="007E5D93"/>
    <w:rsid w:val="007E7970"/>
    <w:rsid w:val="007E7DC4"/>
    <w:rsid w:val="007F19D3"/>
    <w:rsid w:val="007F3194"/>
    <w:rsid w:val="007F72A2"/>
    <w:rsid w:val="0082382D"/>
    <w:rsid w:val="008255DF"/>
    <w:rsid w:val="00835F5B"/>
    <w:rsid w:val="00841E63"/>
    <w:rsid w:val="00845287"/>
    <w:rsid w:val="00867597"/>
    <w:rsid w:val="008932A6"/>
    <w:rsid w:val="008A0CE0"/>
    <w:rsid w:val="008A30D9"/>
    <w:rsid w:val="008A3734"/>
    <w:rsid w:val="008A6D53"/>
    <w:rsid w:val="008B3DAA"/>
    <w:rsid w:val="008C6056"/>
    <w:rsid w:val="008C6ED4"/>
    <w:rsid w:val="008D19FE"/>
    <w:rsid w:val="008D4B4B"/>
    <w:rsid w:val="008E0E4F"/>
    <w:rsid w:val="008E5C69"/>
    <w:rsid w:val="008E6B31"/>
    <w:rsid w:val="008E70BA"/>
    <w:rsid w:val="008E795D"/>
    <w:rsid w:val="008F02D3"/>
    <w:rsid w:val="008F21DE"/>
    <w:rsid w:val="008F65F0"/>
    <w:rsid w:val="008F6EAB"/>
    <w:rsid w:val="0090234D"/>
    <w:rsid w:val="00902621"/>
    <w:rsid w:val="00904BAD"/>
    <w:rsid w:val="00904E28"/>
    <w:rsid w:val="0091018F"/>
    <w:rsid w:val="009120AA"/>
    <w:rsid w:val="00912216"/>
    <w:rsid w:val="0091370C"/>
    <w:rsid w:val="00915F3F"/>
    <w:rsid w:val="009225CB"/>
    <w:rsid w:val="00925A0D"/>
    <w:rsid w:val="0092740C"/>
    <w:rsid w:val="0094399E"/>
    <w:rsid w:val="00950A22"/>
    <w:rsid w:val="009602A3"/>
    <w:rsid w:val="00970B39"/>
    <w:rsid w:val="0097194F"/>
    <w:rsid w:val="00975489"/>
    <w:rsid w:val="0098273F"/>
    <w:rsid w:val="00984CAF"/>
    <w:rsid w:val="00986204"/>
    <w:rsid w:val="0098684F"/>
    <w:rsid w:val="009A5BC2"/>
    <w:rsid w:val="009B52BC"/>
    <w:rsid w:val="009C10CC"/>
    <w:rsid w:val="009C66B3"/>
    <w:rsid w:val="009D62FF"/>
    <w:rsid w:val="009F17D4"/>
    <w:rsid w:val="009F5EBD"/>
    <w:rsid w:val="00A00B2C"/>
    <w:rsid w:val="00A02364"/>
    <w:rsid w:val="00A05157"/>
    <w:rsid w:val="00A1268B"/>
    <w:rsid w:val="00A12CF2"/>
    <w:rsid w:val="00A1552F"/>
    <w:rsid w:val="00A1583A"/>
    <w:rsid w:val="00A25024"/>
    <w:rsid w:val="00A32CDA"/>
    <w:rsid w:val="00A33E00"/>
    <w:rsid w:val="00A34E24"/>
    <w:rsid w:val="00A409EA"/>
    <w:rsid w:val="00A45944"/>
    <w:rsid w:val="00A51D0D"/>
    <w:rsid w:val="00A536BB"/>
    <w:rsid w:val="00A55BB8"/>
    <w:rsid w:val="00A63A1A"/>
    <w:rsid w:val="00A81E65"/>
    <w:rsid w:val="00A827BC"/>
    <w:rsid w:val="00A843BF"/>
    <w:rsid w:val="00A8452A"/>
    <w:rsid w:val="00A8799B"/>
    <w:rsid w:val="00AA162F"/>
    <w:rsid w:val="00AB1A78"/>
    <w:rsid w:val="00AB24CA"/>
    <w:rsid w:val="00AB42B1"/>
    <w:rsid w:val="00AB5195"/>
    <w:rsid w:val="00AC0BFF"/>
    <w:rsid w:val="00AC2439"/>
    <w:rsid w:val="00AC7F28"/>
    <w:rsid w:val="00AD23DC"/>
    <w:rsid w:val="00AD46AC"/>
    <w:rsid w:val="00AD7D2C"/>
    <w:rsid w:val="00AE409A"/>
    <w:rsid w:val="00AE629C"/>
    <w:rsid w:val="00AE63C2"/>
    <w:rsid w:val="00AE69A9"/>
    <w:rsid w:val="00AF29FD"/>
    <w:rsid w:val="00AF5BE5"/>
    <w:rsid w:val="00B00178"/>
    <w:rsid w:val="00B0401F"/>
    <w:rsid w:val="00B111DD"/>
    <w:rsid w:val="00B20346"/>
    <w:rsid w:val="00B204BA"/>
    <w:rsid w:val="00B26D8A"/>
    <w:rsid w:val="00B27C6E"/>
    <w:rsid w:val="00B32AA0"/>
    <w:rsid w:val="00B32CD9"/>
    <w:rsid w:val="00B35DAC"/>
    <w:rsid w:val="00B54AF5"/>
    <w:rsid w:val="00B55F9B"/>
    <w:rsid w:val="00B63839"/>
    <w:rsid w:val="00B64F42"/>
    <w:rsid w:val="00B72CFA"/>
    <w:rsid w:val="00B776AD"/>
    <w:rsid w:val="00B803B8"/>
    <w:rsid w:val="00B86CD6"/>
    <w:rsid w:val="00B92304"/>
    <w:rsid w:val="00B93F6E"/>
    <w:rsid w:val="00B958F1"/>
    <w:rsid w:val="00BA0236"/>
    <w:rsid w:val="00BA0ABB"/>
    <w:rsid w:val="00BA66EE"/>
    <w:rsid w:val="00BA6E7E"/>
    <w:rsid w:val="00BB2056"/>
    <w:rsid w:val="00BC533E"/>
    <w:rsid w:val="00BC60B5"/>
    <w:rsid w:val="00BD5872"/>
    <w:rsid w:val="00BD63DE"/>
    <w:rsid w:val="00BE29B1"/>
    <w:rsid w:val="00BE4273"/>
    <w:rsid w:val="00BE7599"/>
    <w:rsid w:val="00BF0021"/>
    <w:rsid w:val="00BF32A4"/>
    <w:rsid w:val="00C0278A"/>
    <w:rsid w:val="00C03FB7"/>
    <w:rsid w:val="00C15899"/>
    <w:rsid w:val="00C23EF8"/>
    <w:rsid w:val="00C24AA9"/>
    <w:rsid w:val="00C26D7E"/>
    <w:rsid w:val="00C3386F"/>
    <w:rsid w:val="00C3436E"/>
    <w:rsid w:val="00C35213"/>
    <w:rsid w:val="00C42C34"/>
    <w:rsid w:val="00C435CE"/>
    <w:rsid w:val="00C56046"/>
    <w:rsid w:val="00C648E5"/>
    <w:rsid w:val="00C73858"/>
    <w:rsid w:val="00C8510D"/>
    <w:rsid w:val="00CA1670"/>
    <w:rsid w:val="00CA373B"/>
    <w:rsid w:val="00CB380B"/>
    <w:rsid w:val="00CC01C5"/>
    <w:rsid w:val="00CC7958"/>
    <w:rsid w:val="00CE0018"/>
    <w:rsid w:val="00CE55DD"/>
    <w:rsid w:val="00CE709A"/>
    <w:rsid w:val="00CE7124"/>
    <w:rsid w:val="00CE7335"/>
    <w:rsid w:val="00CF1335"/>
    <w:rsid w:val="00CF26F3"/>
    <w:rsid w:val="00CF533D"/>
    <w:rsid w:val="00D002C8"/>
    <w:rsid w:val="00D110E9"/>
    <w:rsid w:val="00D11A1F"/>
    <w:rsid w:val="00D1417C"/>
    <w:rsid w:val="00D17538"/>
    <w:rsid w:val="00D20173"/>
    <w:rsid w:val="00D20944"/>
    <w:rsid w:val="00D23BC4"/>
    <w:rsid w:val="00D2463A"/>
    <w:rsid w:val="00D24E8D"/>
    <w:rsid w:val="00D30A1F"/>
    <w:rsid w:val="00D369FA"/>
    <w:rsid w:val="00D51270"/>
    <w:rsid w:val="00D515A0"/>
    <w:rsid w:val="00D524BD"/>
    <w:rsid w:val="00D52C07"/>
    <w:rsid w:val="00D53E64"/>
    <w:rsid w:val="00D60721"/>
    <w:rsid w:val="00D60A0A"/>
    <w:rsid w:val="00D6192E"/>
    <w:rsid w:val="00D678D0"/>
    <w:rsid w:val="00D74AF2"/>
    <w:rsid w:val="00D833F1"/>
    <w:rsid w:val="00D85E11"/>
    <w:rsid w:val="00D91F1A"/>
    <w:rsid w:val="00DA0599"/>
    <w:rsid w:val="00DA214D"/>
    <w:rsid w:val="00DA2A82"/>
    <w:rsid w:val="00DA5347"/>
    <w:rsid w:val="00DB297A"/>
    <w:rsid w:val="00DB2F91"/>
    <w:rsid w:val="00DB5828"/>
    <w:rsid w:val="00DC2D36"/>
    <w:rsid w:val="00DC4B1F"/>
    <w:rsid w:val="00DD088D"/>
    <w:rsid w:val="00DD1BB0"/>
    <w:rsid w:val="00DD4896"/>
    <w:rsid w:val="00DE3381"/>
    <w:rsid w:val="00E03937"/>
    <w:rsid w:val="00E15123"/>
    <w:rsid w:val="00E208F8"/>
    <w:rsid w:val="00E24C6F"/>
    <w:rsid w:val="00E259FB"/>
    <w:rsid w:val="00E30048"/>
    <w:rsid w:val="00E43407"/>
    <w:rsid w:val="00E437DC"/>
    <w:rsid w:val="00E52082"/>
    <w:rsid w:val="00E55CD9"/>
    <w:rsid w:val="00E65BD6"/>
    <w:rsid w:val="00E67B84"/>
    <w:rsid w:val="00E7282B"/>
    <w:rsid w:val="00E762E1"/>
    <w:rsid w:val="00E76EFF"/>
    <w:rsid w:val="00E82291"/>
    <w:rsid w:val="00E830CF"/>
    <w:rsid w:val="00E85605"/>
    <w:rsid w:val="00E86CE5"/>
    <w:rsid w:val="00E86D66"/>
    <w:rsid w:val="00E96F1B"/>
    <w:rsid w:val="00EA0B76"/>
    <w:rsid w:val="00EA13F0"/>
    <w:rsid w:val="00EA2BB1"/>
    <w:rsid w:val="00EA6D16"/>
    <w:rsid w:val="00EB37A2"/>
    <w:rsid w:val="00EB5BD4"/>
    <w:rsid w:val="00EC343E"/>
    <w:rsid w:val="00EC63F2"/>
    <w:rsid w:val="00ED5421"/>
    <w:rsid w:val="00F0049B"/>
    <w:rsid w:val="00F02B16"/>
    <w:rsid w:val="00F03BC9"/>
    <w:rsid w:val="00F1095A"/>
    <w:rsid w:val="00F13ED6"/>
    <w:rsid w:val="00F20B4A"/>
    <w:rsid w:val="00F230A5"/>
    <w:rsid w:val="00F26D34"/>
    <w:rsid w:val="00F32C89"/>
    <w:rsid w:val="00F335F9"/>
    <w:rsid w:val="00F36D6B"/>
    <w:rsid w:val="00F4290E"/>
    <w:rsid w:val="00F42E27"/>
    <w:rsid w:val="00F435E9"/>
    <w:rsid w:val="00F436C5"/>
    <w:rsid w:val="00F45D98"/>
    <w:rsid w:val="00F4712B"/>
    <w:rsid w:val="00F52E3E"/>
    <w:rsid w:val="00F52F98"/>
    <w:rsid w:val="00F53CF7"/>
    <w:rsid w:val="00F64972"/>
    <w:rsid w:val="00F65CEC"/>
    <w:rsid w:val="00F858C1"/>
    <w:rsid w:val="00F978A9"/>
    <w:rsid w:val="00FA4F1C"/>
    <w:rsid w:val="00FA6435"/>
    <w:rsid w:val="00FA7135"/>
    <w:rsid w:val="00FB66C9"/>
    <w:rsid w:val="00FC2108"/>
    <w:rsid w:val="00FC786B"/>
    <w:rsid w:val="00FD0DB1"/>
    <w:rsid w:val="00FE101D"/>
    <w:rsid w:val="00FE4A1A"/>
    <w:rsid w:val="00FE6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ddd" strokecolor="#969696">
      <v:fill color="#ddd" type="tile"/>
      <v:stroke color="#969696"/>
      <v:shadow on="t" type="perspective" color="#c7dfd3" origin="-.5,-.5" offset="-26pt,-36pt" matrix="1.25,,,1.2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35"/>
    <w:rPr>
      <w:sz w:val="24"/>
      <w:szCs w:val="24"/>
    </w:rPr>
  </w:style>
  <w:style w:type="paragraph" w:styleId="Titre1">
    <w:name w:val="heading 1"/>
    <w:basedOn w:val="Normal"/>
    <w:next w:val="Normal"/>
    <w:qFormat/>
    <w:rsid w:val="00FA6435"/>
    <w:pPr>
      <w:keepNext/>
      <w:outlineLvl w:val="0"/>
    </w:pPr>
    <w:rPr>
      <w:b/>
      <w:bCs/>
    </w:rPr>
  </w:style>
  <w:style w:type="paragraph" w:styleId="Titre2">
    <w:name w:val="heading 2"/>
    <w:basedOn w:val="Normal"/>
    <w:next w:val="Normal"/>
    <w:qFormat/>
    <w:rsid w:val="00FA6435"/>
    <w:pPr>
      <w:keepNext/>
      <w:jc w:val="center"/>
      <w:outlineLvl w:val="1"/>
    </w:pPr>
    <w:rPr>
      <w:b/>
      <w:bCs/>
      <w:sz w:val="22"/>
    </w:rPr>
  </w:style>
  <w:style w:type="paragraph" w:styleId="Titre3">
    <w:name w:val="heading 3"/>
    <w:basedOn w:val="Normal"/>
    <w:next w:val="Normal"/>
    <w:qFormat/>
    <w:rsid w:val="00FA6435"/>
    <w:pPr>
      <w:keepNext/>
      <w:jc w:val="center"/>
      <w:outlineLvl w:val="2"/>
    </w:pPr>
    <w:rPr>
      <w:b/>
      <w:bCs/>
      <w:sz w:val="28"/>
    </w:rPr>
  </w:style>
  <w:style w:type="paragraph" w:styleId="Titre4">
    <w:name w:val="heading 4"/>
    <w:basedOn w:val="Normal"/>
    <w:next w:val="Normal"/>
    <w:qFormat/>
    <w:rsid w:val="00FA6435"/>
    <w:pPr>
      <w:keepNext/>
      <w:outlineLvl w:val="3"/>
    </w:pPr>
    <w:rPr>
      <w:i/>
      <w:iCs/>
    </w:rPr>
  </w:style>
  <w:style w:type="paragraph" w:styleId="Titre5">
    <w:name w:val="heading 5"/>
    <w:basedOn w:val="Normal"/>
    <w:next w:val="Normal"/>
    <w:qFormat/>
    <w:rsid w:val="00FA6435"/>
    <w:pPr>
      <w:keepNext/>
      <w:jc w:val="both"/>
      <w:outlineLvl w:val="4"/>
    </w:pPr>
    <w:rPr>
      <w:b/>
      <w:bCs/>
    </w:rPr>
  </w:style>
  <w:style w:type="paragraph" w:styleId="Titre6">
    <w:name w:val="heading 6"/>
    <w:basedOn w:val="Normal"/>
    <w:next w:val="Normal"/>
    <w:qFormat/>
    <w:rsid w:val="00FA6435"/>
    <w:pPr>
      <w:keepNext/>
      <w:jc w:val="both"/>
      <w:outlineLvl w:val="5"/>
    </w:pPr>
    <w:rPr>
      <w:b/>
      <w:bCs/>
      <w:sz w:val="22"/>
    </w:rPr>
  </w:style>
  <w:style w:type="paragraph" w:styleId="Titre7">
    <w:name w:val="heading 7"/>
    <w:basedOn w:val="Normal"/>
    <w:next w:val="Normal"/>
    <w:qFormat/>
    <w:rsid w:val="00FA6435"/>
    <w:pPr>
      <w:keepNext/>
      <w:spacing w:after="100" w:afterAutospacing="1"/>
      <w:jc w:val="both"/>
      <w:outlineLvl w:val="6"/>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A6435"/>
    <w:pPr>
      <w:tabs>
        <w:tab w:val="center" w:pos="4536"/>
        <w:tab w:val="right" w:pos="9072"/>
      </w:tabs>
    </w:pPr>
  </w:style>
  <w:style w:type="paragraph" w:styleId="Pieddepage">
    <w:name w:val="footer"/>
    <w:basedOn w:val="Normal"/>
    <w:semiHidden/>
    <w:rsid w:val="00FA6435"/>
    <w:pPr>
      <w:tabs>
        <w:tab w:val="center" w:pos="4536"/>
        <w:tab w:val="right" w:pos="9072"/>
      </w:tabs>
    </w:pPr>
  </w:style>
  <w:style w:type="paragraph" w:styleId="Corpsdetexte">
    <w:name w:val="Body Text"/>
    <w:basedOn w:val="Normal"/>
    <w:semiHidden/>
    <w:rsid w:val="00FA6435"/>
    <w:pPr>
      <w:jc w:val="both"/>
    </w:pPr>
  </w:style>
  <w:style w:type="paragraph" w:styleId="Corpsdetexte2">
    <w:name w:val="Body Text 2"/>
    <w:basedOn w:val="Normal"/>
    <w:semiHidden/>
    <w:rsid w:val="00FA6435"/>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pPr>
    <w:rPr>
      <w:sz w:val="18"/>
    </w:rPr>
  </w:style>
  <w:style w:type="paragraph" w:styleId="Corpsdetexte3">
    <w:name w:val="Body Text 3"/>
    <w:basedOn w:val="Normal"/>
    <w:semiHidden/>
    <w:rsid w:val="00FA6435"/>
    <w:pPr>
      <w:autoSpaceDE w:val="0"/>
      <w:autoSpaceDN w:val="0"/>
      <w:adjustRightInd w:val="0"/>
      <w:jc w:val="both"/>
    </w:pPr>
    <w:rPr>
      <w:color w:val="000000"/>
      <w:szCs w:val="20"/>
    </w:rPr>
  </w:style>
  <w:style w:type="paragraph" w:styleId="Normalcentr">
    <w:name w:val="Block Text"/>
    <w:basedOn w:val="Normal"/>
    <w:semiHidden/>
    <w:rsid w:val="00FA6435"/>
    <w:pPr>
      <w:ind w:left="360" w:right="-151"/>
    </w:pPr>
    <w:rPr>
      <w:i/>
      <w:iCs/>
    </w:rPr>
  </w:style>
  <w:style w:type="character" w:styleId="Lienhypertexte">
    <w:name w:val="Hyperlink"/>
    <w:basedOn w:val="Policepardfaut"/>
    <w:semiHidden/>
    <w:rsid w:val="00FA6435"/>
    <w:rPr>
      <w:color w:val="0000FF"/>
      <w:u w:val="single"/>
    </w:rPr>
  </w:style>
  <w:style w:type="character" w:styleId="Lienhypertextesuivivisit">
    <w:name w:val="FollowedHyperlink"/>
    <w:basedOn w:val="Policepardfaut"/>
    <w:semiHidden/>
    <w:rsid w:val="00FA6435"/>
    <w:rPr>
      <w:color w:val="800080"/>
      <w:u w:val="single"/>
    </w:rPr>
  </w:style>
  <w:style w:type="paragraph" w:styleId="Retraitcorpsdetexte">
    <w:name w:val="Body Text Indent"/>
    <w:basedOn w:val="Normal"/>
    <w:semiHidden/>
    <w:rsid w:val="00FA6435"/>
    <w:pPr>
      <w:autoSpaceDE w:val="0"/>
      <w:autoSpaceDN w:val="0"/>
      <w:adjustRightInd w:val="0"/>
      <w:ind w:left="360"/>
      <w:jc w:val="both"/>
    </w:pPr>
    <w:rPr>
      <w:szCs w:val="32"/>
    </w:rPr>
  </w:style>
  <w:style w:type="paragraph" w:customStyle="1" w:styleId="spip">
    <w:name w:val="spip"/>
    <w:basedOn w:val="Normal"/>
    <w:rsid w:val="00FA6435"/>
    <w:pPr>
      <w:spacing w:before="100" w:beforeAutospacing="1" w:after="100" w:afterAutospacing="1"/>
    </w:pPr>
    <w:rPr>
      <w:rFonts w:ascii="Arial Unicode MS" w:eastAsia="Arial Unicode MS" w:hAnsi="Arial Unicode MS" w:cs="Arial Unicode MS"/>
    </w:rPr>
  </w:style>
  <w:style w:type="character" w:styleId="Numrodepage">
    <w:name w:val="page number"/>
    <w:basedOn w:val="Policepardfaut"/>
    <w:semiHidden/>
    <w:rsid w:val="00FA6435"/>
  </w:style>
  <w:style w:type="paragraph" w:styleId="Retraitcorpsdetexte2">
    <w:name w:val="Body Text Indent 2"/>
    <w:basedOn w:val="Normal"/>
    <w:semiHidden/>
    <w:rsid w:val="00FA6435"/>
    <w:pPr>
      <w:autoSpaceDE w:val="0"/>
      <w:autoSpaceDN w:val="0"/>
      <w:adjustRightInd w:val="0"/>
      <w:ind w:left="360"/>
      <w:jc w:val="both"/>
    </w:pPr>
    <w:rPr>
      <w:color w:val="000000"/>
      <w:sz w:val="22"/>
      <w:szCs w:val="20"/>
    </w:rPr>
  </w:style>
  <w:style w:type="paragraph" w:styleId="Titre">
    <w:name w:val="Title"/>
    <w:basedOn w:val="Normal"/>
    <w:qFormat/>
    <w:rsid w:val="00FA6435"/>
    <w:pPr>
      <w:jc w:val="center"/>
    </w:pPr>
    <w:rPr>
      <w:b/>
      <w:bCs/>
      <w:sz w:val="28"/>
    </w:rPr>
  </w:style>
  <w:style w:type="paragraph" w:styleId="Listepuces">
    <w:name w:val="List Bullet"/>
    <w:basedOn w:val="Normal"/>
    <w:autoRedefine/>
    <w:semiHidden/>
    <w:rsid w:val="00FA6435"/>
    <w:pPr>
      <w:numPr>
        <w:numId w:val="23"/>
      </w:numPr>
    </w:pPr>
  </w:style>
  <w:style w:type="paragraph" w:styleId="Lgende">
    <w:name w:val="caption"/>
    <w:basedOn w:val="Normal"/>
    <w:next w:val="Normal"/>
    <w:qFormat/>
    <w:rsid w:val="00FA6435"/>
    <w:pPr>
      <w:jc w:val="center"/>
    </w:pPr>
    <w:rPr>
      <w:rFonts w:ascii="EDF" w:hAnsi="EDF"/>
      <w:sz w:val="40"/>
      <w:szCs w:val="32"/>
      <w:bdr w:val="single" w:sz="4" w:space="0" w:color="auto"/>
    </w:rPr>
  </w:style>
  <w:style w:type="paragraph" w:styleId="Paragraphedeliste">
    <w:name w:val="List Paragraph"/>
    <w:basedOn w:val="Normal"/>
    <w:uiPriority w:val="34"/>
    <w:qFormat/>
    <w:rsid w:val="00FA6435"/>
    <w:pPr>
      <w:spacing w:after="200" w:line="276" w:lineRule="auto"/>
      <w:ind w:left="720"/>
    </w:pPr>
    <w:rPr>
      <w:rFonts w:ascii="Calibri" w:eastAsia="Calibri" w:hAnsi="Calibri"/>
      <w:sz w:val="22"/>
      <w:szCs w:val="22"/>
      <w:lang w:eastAsia="en-US"/>
    </w:rPr>
  </w:style>
  <w:style w:type="paragraph" w:customStyle="1" w:styleId="xl25">
    <w:name w:val="xl25"/>
    <w:basedOn w:val="Normal"/>
    <w:rsid w:val="00FA6435"/>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A6435"/>
    <w:pPr>
      <w:spacing w:before="100" w:beforeAutospacing="1" w:after="100" w:afterAutospacing="1"/>
      <w:jc w:val="center"/>
    </w:pPr>
    <w:rPr>
      <w:rFonts w:ascii="Arial Unicode MS" w:eastAsia="Arial Unicode MS" w:hAnsi="Arial Unicode MS" w:cs="Arial Unicode MS"/>
    </w:rPr>
  </w:style>
  <w:style w:type="paragraph" w:styleId="Textedebulles">
    <w:name w:val="Balloon Text"/>
    <w:basedOn w:val="Normal"/>
    <w:semiHidden/>
    <w:unhideWhenUsed/>
    <w:rsid w:val="00FA6435"/>
    <w:rPr>
      <w:rFonts w:ascii="Tahoma" w:hAnsi="Tahoma" w:cs="Tahoma"/>
      <w:sz w:val="16"/>
      <w:szCs w:val="16"/>
    </w:rPr>
  </w:style>
  <w:style w:type="character" w:customStyle="1" w:styleId="TextedebullesCar">
    <w:name w:val="Texte de bulles Car"/>
    <w:basedOn w:val="Policepardfaut"/>
    <w:semiHidden/>
    <w:rsid w:val="00FA6435"/>
    <w:rPr>
      <w:rFonts w:ascii="Tahoma" w:hAnsi="Tahoma" w:cs="Tahoma"/>
      <w:sz w:val="16"/>
      <w:szCs w:val="16"/>
    </w:rPr>
  </w:style>
  <w:style w:type="paragraph" w:styleId="Rvision">
    <w:name w:val="Revision"/>
    <w:hidden/>
    <w:semiHidden/>
    <w:rsid w:val="00FA6435"/>
    <w:rPr>
      <w:sz w:val="24"/>
      <w:szCs w:val="24"/>
    </w:rPr>
  </w:style>
  <w:style w:type="paragraph" w:customStyle="1" w:styleId="Default">
    <w:name w:val="Default"/>
    <w:rsid w:val="00FA6435"/>
    <w:pPr>
      <w:widowControl w:val="0"/>
      <w:autoSpaceDE w:val="0"/>
      <w:autoSpaceDN w:val="0"/>
      <w:adjustRightInd w:val="0"/>
    </w:pPr>
    <w:rPr>
      <w:rFonts w:ascii="Arial" w:hAnsi="Arial" w:cs="Arial"/>
      <w:color w:val="000000"/>
      <w:sz w:val="24"/>
      <w:szCs w:val="24"/>
    </w:rPr>
  </w:style>
  <w:style w:type="paragraph" w:styleId="Retraitcorpsdetexte3">
    <w:name w:val="Body Text Indent 3"/>
    <w:basedOn w:val="Normal"/>
    <w:semiHidden/>
    <w:rsid w:val="00FA6435"/>
    <w:pPr>
      <w:spacing w:after="100" w:afterAutospacing="1"/>
      <w:ind w:left="-180"/>
      <w:jc w:val="both"/>
    </w:pPr>
    <w:rPr>
      <w:szCs w:val="32"/>
    </w:rPr>
  </w:style>
  <w:style w:type="table" w:styleId="Grilledutableau">
    <w:name w:val="Table Grid"/>
    <w:basedOn w:val="TableauNormal"/>
    <w:uiPriority w:val="59"/>
    <w:rsid w:val="003112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A2A82"/>
    <w:rPr>
      <w:sz w:val="20"/>
      <w:szCs w:val="20"/>
    </w:rPr>
  </w:style>
  <w:style w:type="character" w:customStyle="1" w:styleId="NotedebasdepageCar">
    <w:name w:val="Note de bas de page Car"/>
    <w:basedOn w:val="Policepardfaut"/>
    <w:link w:val="Notedebasdepage"/>
    <w:uiPriority w:val="99"/>
    <w:semiHidden/>
    <w:rsid w:val="00DA2A82"/>
  </w:style>
  <w:style w:type="character" w:styleId="Appelnotedebasdep">
    <w:name w:val="footnote reference"/>
    <w:basedOn w:val="Policepardfaut"/>
    <w:uiPriority w:val="99"/>
    <w:semiHidden/>
    <w:unhideWhenUsed/>
    <w:rsid w:val="00DA2A82"/>
    <w:rPr>
      <w:vertAlign w:val="superscript"/>
    </w:rPr>
  </w:style>
  <w:style w:type="character" w:customStyle="1" w:styleId="apple-converted-space">
    <w:name w:val="apple-converted-space"/>
    <w:basedOn w:val="Policepardfaut"/>
    <w:rsid w:val="008A30D9"/>
  </w:style>
</w:styles>
</file>

<file path=word/webSettings.xml><?xml version="1.0" encoding="utf-8"?>
<w:webSettings xmlns:r="http://schemas.openxmlformats.org/officeDocument/2006/relationships" xmlns:w="http://schemas.openxmlformats.org/wordprocessingml/2006/main">
  <w:divs>
    <w:div w:id="35545619">
      <w:bodyDiv w:val="1"/>
      <w:marLeft w:val="0"/>
      <w:marRight w:val="0"/>
      <w:marTop w:val="0"/>
      <w:marBottom w:val="0"/>
      <w:divBdr>
        <w:top w:val="none" w:sz="0" w:space="0" w:color="auto"/>
        <w:left w:val="none" w:sz="0" w:space="0" w:color="auto"/>
        <w:bottom w:val="none" w:sz="0" w:space="0" w:color="auto"/>
        <w:right w:val="none" w:sz="0" w:space="0" w:color="auto"/>
      </w:divBdr>
    </w:div>
    <w:div w:id="8668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9.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EE4A-2CA1-4829-9CFD-DC7BCD9950BF}">
  <ds:schemaRefs>
    <ds:schemaRef ds:uri="http://schemas.openxmlformats.org/officeDocument/2006/bibliography"/>
  </ds:schemaRefs>
</ds:datastoreItem>
</file>

<file path=customXml/itemProps2.xml><?xml version="1.0" encoding="utf-8"?>
<ds:datastoreItem xmlns:ds="http://schemas.openxmlformats.org/officeDocument/2006/customXml" ds:itemID="{50B29BDA-5F6C-4F29-9855-7107183C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EDF - Gaz de France</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VIDAL-SER</dc:creator>
  <cp:lastModifiedBy>VIDAL</cp:lastModifiedBy>
  <cp:revision>2</cp:revision>
  <cp:lastPrinted>2013-09-02T12:32:00Z</cp:lastPrinted>
  <dcterms:created xsi:type="dcterms:W3CDTF">2014-09-01T08:22:00Z</dcterms:created>
  <dcterms:modified xsi:type="dcterms:W3CDTF">2014-09-01T08:22:00Z</dcterms:modified>
</cp:coreProperties>
</file>